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br/>
      </w:r>
      <w:r>
        <w:drawing>
          <wp:inline xmlns:a="http://schemas.openxmlformats.org/drawingml/2006/main" xmlns:pic="http://schemas.openxmlformats.org/drawingml/2006/picture">
            <wp:extent cx="720000" cy="780000"/>
            <wp:docPr id="1" name="Picture 1"/>
            <wp:cNvGraphicFramePr>
              <a:graphicFrameLocks noChangeAspect="1"/>
            </wp:cNvGraphicFramePr>
            <a:graphic>
              <a:graphicData uri="http://schemas.openxmlformats.org/drawingml/2006/picture">
                <pic:pic>
                  <pic:nvPicPr>
                    <pic:cNvPr id="0" name="uflb_logo_crop.png"/>
                    <pic:cNvPicPr/>
                  </pic:nvPicPr>
                  <pic:blipFill>
                    <a:blip r:embed="rId11"/>
                    <a:stretch>
                      <a:fillRect/>
                    </a:stretch>
                  </pic:blipFill>
                  <pic:spPr>
                    <a:xfrm>
                      <a:off x="0" y="0"/>
                      <a:ext cx="720000" cy="780000"/>
                    </a:xfrm>
                    <a:prstGeom prst="rect"/>
                  </pic:spPr>
                </pic:pic>
              </a:graphicData>
            </a:graphic>
          </wp:inline>
        </w:drawing>
      </w:r>
    </w:p>
    <w:p>
      <w:pPr>
        <w:jc w:val="center"/>
      </w:pPr>
      <w:r>
        <w:rPr>
          <w:rFonts w:ascii="Arial" w:hAnsi="Arial"/>
          <w:b/>
          <w:color w:val="17365D"/>
          <w:sz w:val="60"/>
        </w:rPr>
        <w:t>UFLB</w:t>
      </w:r>
    </w:p>
    <w:p>
      <w:pPr>
        <w:jc w:val="center"/>
      </w:pPr>
      <w:r>
        <w:rPr>
          <w:b/>
          <w:color w:val="C00000"/>
          <w:sz w:val="30"/>
        </w:rPr>
        <w:t>UNION FRANÇAISE DE LETHWEI &amp; BANDO</w:t>
      </w:r>
    </w:p>
    <w:p>
      <w:pPr>
        <w:jc w:val="center"/>
      </w:pPr>
      <w:r>
        <w:rPr>
          <w:b/>
          <w:color w:val="17365D"/>
          <w:sz w:val="40"/>
        </w:rPr>
        <w:t>ANNEXE TECHNIQUE N° 1</w:t>
      </w:r>
    </w:p>
    <w:p>
      <w:pPr>
        <w:jc w:val="center"/>
      </w:pPr>
      <w:r>
        <w:rPr>
          <w:b/>
          <w:sz w:val="34"/>
        </w:rPr>
        <w:t>RÈGLEMENT FÉDÉRAL DES PASSAGES DE GRADES DE THAING</w:t>
      </w:r>
    </w:p>
    <w:p>
      <w:pPr>
        <w:jc w:val="center"/>
      </w:pPr>
      <w:r>
        <w:rPr>
          <w:b/>
          <w:color w:val="C00000"/>
          <w:sz w:val="22"/>
        </w:rPr>
        <w:t>Bando • Banshay • Naban • Lethwei • Min Zin • Monk System</w:t>
      </w:r>
    </w:p>
    <w:p/>
    <w:p/>
    <w:p/>
    <w:tbl>
      <w:tblPr>
        <w:tblW w:type="auto" w:w="0"/>
        <w:jc w:val="center"/>
        <w:tblLook w:firstColumn="1" w:firstRow="1" w:lastColumn="0" w:lastRow="0" w:noHBand="0" w:noVBand="1" w:val="04A0"/>
      </w:tblPr>
      <w:tblGrid>
        <w:gridCol w:w="10312"/>
      </w:tblGrid>
      <w:tr>
        <w:tc>
          <w:tcPr>
            <w:tcW w:type="dxa" w:w="10312"/>
            <w:vAlign w:val="center"/>
            <w:shd w:fill="17365D"/>
          </w:tcPr>
          <w:p>
            <w:pPr>
              <w:spacing w:after="0"/>
            </w:pPr>
            <w:r/>
            <w:r>
              <w:rPr>
                <w:rFonts w:ascii="Arial" w:hAnsi="Arial"/>
                <w:b/>
                <w:color w:val="FFFFFF"/>
                <w:sz w:val="20"/>
              </w:rPr>
              <w:t>Programme technique • Organisation des examens • Jurys • Sécurité • Évaluation • Validation</w:t>
            </w:r>
          </w:p>
        </w:tc>
      </w:tr>
      <w:tr>
        <w:tc>
          <w:tcPr>
            <w:tcW w:type="dxa" w:w="10312"/>
            <w:vAlign w:val="center"/>
            <w:shd w:fill="EEF3F8"/>
          </w:tcPr>
          <w:p>
            <w:r>
              <w:t>Document fédéral — Version de travail 1.1</w:t>
            </w:r>
          </w:p>
        </w:tc>
      </w:tr>
      <w:tr>
        <w:tc>
          <w:tcPr>
            <w:tcW w:type="dxa" w:w="10312"/>
            <w:vAlign w:val="center"/>
            <w:shd w:fill="FFFFFF"/>
          </w:tcPr>
          <w:p>
            <w:pPr>
              <w:spacing w:after="0"/>
            </w:pPr>
            <w:r/>
            <w:r>
              <w:rPr>
                <w:rFonts w:ascii="Arial" w:hAnsi="Arial"/>
                <w:b w:val="0"/>
                <w:color w:val="17365D"/>
                <w:sz w:val="18"/>
              </w:rPr>
              <w:t>Saison 2026–2027</w:t>
            </w:r>
          </w:p>
        </w:tc>
      </w:tr>
      <w:tr>
        <w:tc>
          <w:tcPr>
            <w:tcW w:type="dxa" w:w="10312"/>
            <w:vAlign w:val="center"/>
            <w:shd w:fill="EEF3F8"/>
          </w:tcPr>
          <w:p>
            <w:pPr>
              <w:spacing w:after="0"/>
            </w:pPr>
            <w:r/>
            <w:r>
              <w:rPr>
                <w:rFonts w:ascii="Arial" w:hAnsi="Arial"/>
                <w:b/>
                <w:color w:val="17365D"/>
                <w:sz w:val="18"/>
              </w:rPr>
              <w:t>Président : Alain-André Feschet</w:t>
            </w:r>
          </w:p>
        </w:tc>
      </w:tr>
    </w:tbl>
    <w:p/>
    <w:p>
      <w:pPr>
        <w:pStyle w:val="Small"/>
        <w:jc w:val="center"/>
      </w:pPr>
      <w:r>
        <w:t>Siège : 13 rue de Villard de Lans, 38000 Grenoble — France</w:t>
        <w:br/>
      </w:r>
      <w:r>
        <w:t>Tél. 06 56 67 41 80 — uflblethweibando@gmail.com — www.lethwei-bando.fr</w:t>
      </w:r>
    </w:p>
    <w:p>
      <w:r>
        <w:br w:type="page"/>
      </w:r>
    </w:p>
    <w:p>
      <w:pPr>
        <w:pStyle w:val="Heading1"/>
      </w:pPr>
      <w:r>
        <w:t>Préambule</w:t>
      </w:r>
    </w:p>
    <w:p>
      <w:r>
        <w:t>La présente annexe établit le référentiel technique commun applicable aux passages de grades de Thaing organisés sous l’autorité de l’UFLB. Elle vise à assurer une progression cohérente, une égalité de traitement entre candidats, une harmonisation des examens et la préservation du patrimoine technique transmis au sein du Bando et des disciplines traditionnelles associées.</w:t>
      </w:r>
    </w:p>
    <w:p>
      <w:r>
        <w:t>Le cursus fédéral articule six domaines : le Bando (travail martial à mains nues), le Banshay (armes traditionnelles), le Naban (préhension, projections et contrôles), le Lethwei (boxe birmane et opposition), le Min Zin (respiration, concentration et préparation interne traditionnelle) et le Monk System (principes d’évitement, de contrôle et de percussion maîtrisée retenus par la commission technique).</w:t>
      </w:r>
    </w:p>
    <w:p>
      <w:r>
        <w:rPr>
          <w:b/>
          <w:color w:val="C00000"/>
        </w:rPr>
        <w:t xml:space="preserve">Principe directeur : </w:t>
      </w:r>
      <w:r>
        <w:t>EXÉCUTER → APPLIQUER → EXPLIQUER → TRANSMETTRE.</w:t>
      </w:r>
    </w:p>
    <w:p>
      <w:pPr>
        <w:pStyle w:val="Heading1"/>
      </w:pPr>
      <w:r>
        <w:t>Sommaire</w:t>
      </w:r>
    </w:p>
    <w:p>
      <w:pPr>
        <w:ind w:left="227"/>
      </w:pPr>
      <w:r>
        <w:t>1. Principes généraux et niveaux de grades</w:t>
      </w:r>
    </w:p>
    <w:p>
      <w:pPr>
        <w:ind w:left="227"/>
      </w:pPr>
      <w:r>
        <w:t>2. Conditions d’inscription et organisation des sessions</w:t>
      </w:r>
    </w:p>
    <w:p>
      <w:pPr>
        <w:ind w:left="227"/>
      </w:pPr>
      <w:r>
        <w:t>3. Programme technique par niveau</w:t>
      </w:r>
    </w:p>
    <w:p>
      <w:pPr>
        <w:ind w:left="227"/>
      </w:pPr>
      <w:r>
        <w:t>4. Composition et fonctionnement du jury</w:t>
      </w:r>
    </w:p>
    <w:p>
      <w:pPr>
        <w:ind w:left="227"/>
      </w:pPr>
      <w:r>
        <w:t>5. Règles de sécurité</w:t>
      </w:r>
    </w:p>
    <w:p>
      <w:pPr>
        <w:ind w:left="227"/>
      </w:pPr>
      <w:r>
        <w:t>6. Notation, validation et décisions</w:t>
      </w:r>
    </w:p>
    <w:p>
      <w:pPr>
        <w:ind w:left="227"/>
      </w:pPr>
      <w:r>
        <w:t>7. Rattrapage et conservation des unités</w:t>
      </w:r>
    </w:p>
    <w:p>
      <w:pPr>
        <w:ind w:left="227"/>
      </w:pPr>
      <w:r>
        <w:t>8. Procès-verbal, homologation et registre des grades</w:t>
      </w:r>
    </w:p>
    <w:p>
      <w:pPr>
        <w:ind w:left="227"/>
      </w:pPr>
      <w:r>
        <w:t>9. Grilles récapitulatives et barèmes</w:t>
      </w:r>
    </w:p>
    <w:p>
      <w:pPr>
        <w:ind w:left="227"/>
      </w:pPr>
      <w:r>
        <w:t>10. Formule d’adoption</w:t>
      </w:r>
    </w:p>
    <w:p>
      <w:r>
        <w:br w:type="page"/>
      </w:r>
    </w:p>
    <w:p>
      <w:pPr>
        <w:pStyle w:val="Heading1"/>
      </w:pPr>
      <w:r>
        <w:t>TITRE I — PRINCIPES GÉNÉRAUX</w:t>
      </w:r>
    </w:p>
    <w:p>
      <w:pPr>
        <w:pStyle w:val="Article"/>
      </w:pPr>
      <w:r>
        <w:t>Article 1 — Objet</w:t>
      </w:r>
    </w:p>
    <w:p>
      <w:pPr>
        <w:keepLines/>
      </w:pPr>
      <w:r>
        <w:t>La présente annexe définit les niveaux de grades, les compétences exigées, les conditions d’inscription, les programmes d’examen, les règles de sécurité, la composition des jurys, les modalités de notation, les seuils de validation, les procédures de rattrapage et l’enregistrement des résultats.</w:t>
      </w:r>
    </w:p>
    <w:p>
      <w:pPr>
        <w:pStyle w:val="Article"/>
      </w:pPr>
      <w:r>
        <w:t>Article 2 — Caractère cumulatif</w:t>
      </w:r>
    </w:p>
    <w:p>
      <w:pPr>
        <w:keepLines/>
      </w:pPr>
      <w:r>
        <w:t>La progression est cumulative. L’obtention d’un grade suppose la conservation des compétences essentielles des grades précédents. Le jury peut demander l’exécution d’une technique ou d’une forme relevant d’un niveau antérieurement acquis.</w:t>
      </w:r>
    </w:p>
    <w:p>
      <w:pPr>
        <w:pStyle w:val="Article"/>
      </w:pPr>
      <w:r>
        <w:t>Article 3 — Principes de progression</w:t>
      </w:r>
    </w:p>
    <w:p>
      <w:pPr>
        <w:keepLines/>
      </w:pPr>
      <w:r>
        <w:t>Les grades débutants et intermédiaires privilégient l’exécution et l’application. La capacité d’explication devient une exigence particulière à partir de la ceinture marron. La capacité de transmission est évaluée à partir de la ceinture noire.</w:t>
      </w:r>
    </w:p>
    <w:p>
      <w:pPr>
        <w:pStyle w:val="Heading1"/>
      </w:pPr>
      <w:r>
        <w:t>TITRE II — NIVEAUX DE GRADES</w:t>
      </w:r>
    </w:p>
    <w:tbl>
      <w:tblPr>
        <w:tblStyle w:val="TableGrid"/>
        <w:tblW w:type="auto" w:w="0"/>
        <w:jc w:val="center"/>
        <w:tblLook w:firstColumn="1" w:firstRow="1" w:lastColumn="0" w:lastRow="0" w:noHBand="0" w:noVBand="1" w:val="04A0"/>
      </w:tblPr>
      <w:tblGrid>
        <w:gridCol w:w="3437"/>
        <w:gridCol w:w="3437"/>
        <w:gridCol w:w="3437"/>
      </w:tblGrid>
      <w:tr>
        <w:trPr>
          <w:tblHeader w:val="true"/>
        </w:trPr>
        <w:tc>
          <w:tcPr>
            <w:tcW w:type="dxa" w:w="1134"/>
            <w:vAlign w:val="center"/>
            <w:shd w:fill="17365D"/>
          </w:tcPr>
          <w:p>
            <w:pPr>
              <w:spacing w:after="0"/>
            </w:pPr>
            <w:r/>
            <w:r>
              <w:rPr>
                <w:rFonts w:ascii="Arial" w:hAnsi="Arial"/>
                <w:b/>
                <w:color w:val="FFFFFF"/>
                <w:sz w:val="16"/>
              </w:rPr>
              <w:t>Niveau</w:t>
            </w:r>
          </w:p>
        </w:tc>
        <w:tc>
          <w:tcPr>
            <w:tcW w:type="dxa" w:w="3402"/>
            <w:vAlign w:val="center"/>
            <w:shd w:fill="17365D"/>
          </w:tcPr>
          <w:p>
            <w:pPr>
              <w:spacing w:after="0"/>
            </w:pPr>
            <w:r/>
            <w:r>
              <w:rPr>
                <w:rFonts w:ascii="Arial" w:hAnsi="Arial"/>
                <w:b/>
                <w:color w:val="FFFFFF"/>
                <w:sz w:val="16"/>
              </w:rPr>
              <w:t>Grade</w:t>
            </w:r>
          </w:p>
        </w:tc>
        <w:tc>
          <w:tcPr>
            <w:tcW w:type="dxa" w:w="4535"/>
            <w:vAlign w:val="center"/>
            <w:shd w:fill="17365D"/>
          </w:tcPr>
          <w:p>
            <w:pPr>
              <w:spacing w:after="0"/>
            </w:pPr>
            <w:r/>
            <w:r>
              <w:rPr>
                <w:rFonts w:ascii="Arial" w:hAnsi="Arial"/>
                <w:b/>
                <w:color w:val="FFFFFF"/>
                <w:sz w:val="16"/>
              </w:rPr>
              <w:t>Orientation</w:t>
            </w:r>
          </w:p>
        </w:tc>
      </w:tr>
      <w:tr>
        <w:tc>
          <w:tcPr>
            <w:tcW w:type="dxa" w:w="1134"/>
            <w:vAlign w:val="center"/>
          </w:tcPr>
          <w:p>
            <w:pPr>
              <w:spacing w:after="0"/>
            </w:pPr>
            <w:r/>
            <w:r>
              <w:rPr>
                <w:rFonts w:ascii="Arial" w:hAnsi="Arial"/>
                <w:b w:val="0"/>
                <w:sz w:val="16"/>
              </w:rPr>
              <w:t>0</w:t>
            </w:r>
          </w:p>
        </w:tc>
        <w:tc>
          <w:tcPr>
            <w:tcW w:type="dxa" w:w="3402"/>
            <w:vAlign w:val="center"/>
          </w:tcPr>
          <w:p>
            <w:r>
              <w:t>Ceinture blanche — débutant</w:t>
            </w:r>
          </w:p>
        </w:tc>
        <w:tc>
          <w:tcPr>
            <w:tcW w:type="dxa" w:w="4535"/>
            <w:vAlign w:val="center"/>
          </w:tcPr>
          <w:p>
            <w:r>
              <w:t>Initiation — niveau initial du cursus</w:t>
            </w:r>
          </w:p>
        </w:tc>
      </w:tr>
      <w:tr>
        <w:tc>
          <w:tcPr>
            <w:tcW w:type="dxa" w:w="1134"/>
            <w:vAlign w:val="center"/>
            <w:shd w:fill="F3F6FA"/>
          </w:tcPr>
          <w:p>
            <w:pPr>
              <w:spacing w:after="0"/>
            </w:pPr>
            <w:r/>
            <w:r>
              <w:rPr>
                <w:rFonts w:ascii="Arial" w:hAnsi="Arial"/>
                <w:b w:val="0"/>
                <w:sz w:val="16"/>
              </w:rPr>
              <w:t>1</w:t>
            </w:r>
          </w:p>
        </w:tc>
        <w:tc>
          <w:tcPr>
            <w:tcW w:type="dxa" w:w="3402"/>
            <w:vAlign w:val="center"/>
            <w:shd w:fill="F3F6FA"/>
          </w:tcPr>
          <w:p>
            <w:pPr>
              <w:spacing w:after="0"/>
            </w:pPr>
            <w:r/>
            <w:r>
              <w:rPr>
                <w:rFonts w:ascii="Arial" w:hAnsi="Arial"/>
                <w:b w:val="0"/>
                <w:sz w:val="16"/>
              </w:rPr>
              <w:t>Ceinture jaune</w:t>
            </w:r>
          </w:p>
        </w:tc>
        <w:tc>
          <w:tcPr>
            <w:tcW w:type="dxa" w:w="4535"/>
            <w:vAlign w:val="center"/>
            <w:shd w:fill="F3F6FA"/>
          </w:tcPr>
          <w:p>
            <w:pPr>
              <w:spacing w:after="0"/>
            </w:pPr>
            <w:r/>
            <w:r>
              <w:rPr>
                <w:rFonts w:ascii="Arial" w:hAnsi="Arial"/>
                <w:b w:val="0"/>
                <w:sz w:val="16"/>
              </w:rPr>
              <w:t>Fondamentaux</w:t>
            </w:r>
          </w:p>
        </w:tc>
      </w:tr>
      <w:tr>
        <w:tc>
          <w:tcPr>
            <w:tcW w:type="dxa" w:w="1134"/>
            <w:vAlign w:val="center"/>
          </w:tcPr>
          <w:p>
            <w:pPr>
              <w:spacing w:after="0"/>
            </w:pPr>
            <w:r/>
            <w:r>
              <w:rPr>
                <w:rFonts w:ascii="Arial" w:hAnsi="Arial"/>
                <w:b w:val="0"/>
                <w:sz w:val="16"/>
              </w:rPr>
              <w:t>2</w:t>
            </w:r>
          </w:p>
        </w:tc>
        <w:tc>
          <w:tcPr>
            <w:tcW w:type="dxa" w:w="3402"/>
            <w:vAlign w:val="center"/>
          </w:tcPr>
          <w:p>
            <w:pPr>
              <w:spacing w:after="0"/>
            </w:pPr>
            <w:r/>
            <w:r>
              <w:rPr>
                <w:rFonts w:ascii="Arial" w:hAnsi="Arial"/>
                <w:b w:val="0"/>
                <w:sz w:val="16"/>
              </w:rPr>
              <w:t>Ceinture orange</w:t>
            </w:r>
          </w:p>
        </w:tc>
        <w:tc>
          <w:tcPr>
            <w:tcW w:type="dxa" w:w="4535"/>
            <w:vAlign w:val="center"/>
          </w:tcPr>
          <w:p>
            <w:pPr>
              <w:spacing w:after="0"/>
            </w:pPr>
            <w:r/>
            <w:r>
              <w:rPr>
                <w:rFonts w:ascii="Arial" w:hAnsi="Arial"/>
                <w:b w:val="0"/>
                <w:sz w:val="16"/>
              </w:rPr>
              <w:t>Construction</w:t>
            </w:r>
          </w:p>
        </w:tc>
      </w:tr>
      <w:tr>
        <w:tc>
          <w:tcPr>
            <w:tcW w:type="dxa" w:w="1134"/>
            <w:vAlign w:val="center"/>
            <w:shd w:fill="F3F6FA"/>
          </w:tcPr>
          <w:p>
            <w:pPr>
              <w:spacing w:after="0"/>
            </w:pPr>
            <w:r/>
            <w:r>
              <w:rPr>
                <w:rFonts w:ascii="Arial" w:hAnsi="Arial"/>
                <w:b w:val="0"/>
                <w:sz w:val="16"/>
              </w:rPr>
              <w:t>3</w:t>
            </w:r>
          </w:p>
        </w:tc>
        <w:tc>
          <w:tcPr>
            <w:tcW w:type="dxa" w:w="3402"/>
            <w:vAlign w:val="center"/>
            <w:shd w:fill="F3F6FA"/>
          </w:tcPr>
          <w:p>
            <w:pPr>
              <w:spacing w:after="0"/>
            </w:pPr>
            <w:r/>
            <w:r>
              <w:rPr>
                <w:rFonts w:ascii="Arial" w:hAnsi="Arial"/>
                <w:b w:val="0"/>
                <w:sz w:val="16"/>
              </w:rPr>
              <w:t>Ceinture verte</w:t>
            </w:r>
          </w:p>
        </w:tc>
        <w:tc>
          <w:tcPr>
            <w:tcW w:type="dxa" w:w="4535"/>
            <w:vAlign w:val="center"/>
            <w:shd w:fill="F3F6FA"/>
          </w:tcPr>
          <w:p>
            <w:pPr>
              <w:spacing w:after="0"/>
            </w:pPr>
            <w:r/>
            <w:r>
              <w:rPr>
                <w:rFonts w:ascii="Arial" w:hAnsi="Arial"/>
                <w:b w:val="0"/>
                <w:sz w:val="16"/>
              </w:rPr>
              <w:t>Application</w:t>
            </w:r>
          </w:p>
        </w:tc>
      </w:tr>
      <w:tr>
        <w:tc>
          <w:tcPr>
            <w:tcW w:type="dxa" w:w="1134"/>
            <w:vAlign w:val="center"/>
          </w:tcPr>
          <w:p>
            <w:pPr>
              <w:spacing w:after="0"/>
            </w:pPr>
            <w:r/>
            <w:r>
              <w:rPr>
                <w:rFonts w:ascii="Arial" w:hAnsi="Arial"/>
                <w:b w:val="0"/>
                <w:sz w:val="16"/>
              </w:rPr>
              <w:t>4</w:t>
            </w:r>
          </w:p>
        </w:tc>
        <w:tc>
          <w:tcPr>
            <w:tcW w:type="dxa" w:w="3402"/>
            <w:vAlign w:val="center"/>
          </w:tcPr>
          <w:p>
            <w:pPr>
              <w:spacing w:after="0"/>
            </w:pPr>
            <w:r/>
            <w:r>
              <w:rPr>
                <w:rFonts w:ascii="Arial" w:hAnsi="Arial"/>
                <w:b w:val="0"/>
                <w:sz w:val="16"/>
              </w:rPr>
              <w:t>Ceinture bleue</w:t>
            </w:r>
          </w:p>
        </w:tc>
        <w:tc>
          <w:tcPr>
            <w:tcW w:type="dxa" w:w="4535"/>
            <w:vAlign w:val="center"/>
          </w:tcPr>
          <w:p>
            <w:pPr>
              <w:spacing w:after="0"/>
            </w:pPr>
            <w:r/>
            <w:r>
              <w:rPr>
                <w:rFonts w:ascii="Arial" w:hAnsi="Arial"/>
                <w:b w:val="0"/>
                <w:sz w:val="16"/>
              </w:rPr>
              <w:t>Perfectionnement</w:t>
            </w:r>
          </w:p>
        </w:tc>
      </w:tr>
      <w:tr>
        <w:tc>
          <w:tcPr>
            <w:tcW w:type="dxa" w:w="1134"/>
            <w:vAlign w:val="center"/>
            <w:shd w:fill="F3F6FA"/>
          </w:tcPr>
          <w:p>
            <w:pPr>
              <w:spacing w:after="0"/>
            </w:pPr>
            <w:r/>
            <w:r>
              <w:rPr>
                <w:rFonts w:ascii="Arial" w:hAnsi="Arial"/>
                <w:b w:val="0"/>
                <w:sz w:val="16"/>
              </w:rPr>
              <w:t>5</w:t>
            </w:r>
          </w:p>
        </w:tc>
        <w:tc>
          <w:tcPr>
            <w:tcW w:type="dxa" w:w="3402"/>
            <w:vAlign w:val="center"/>
            <w:shd w:fill="F3F6FA"/>
          </w:tcPr>
          <w:p>
            <w:pPr>
              <w:spacing w:after="0"/>
            </w:pPr>
            <w:r/>
            <w:r>
              <w:rPr>
                <w:rFonts w:ascii="Arial" w:hAnsi="Arial"/>
                <w:b w:val="0"/>
                <w:sz w:val="16"/>
              </w:rPr>
              <w:t>Ceinture marron</w:t>
            </w:r>
          </w:p>
        </w:tc>
        <w:tc>
          <w:tcPr>
            <w:tcW w:type="dxa" w:w="4535"/>
            <w:vAlign w:val="center"/>
            <w:shd w:fill="F3F6FA"/>
          </w:tcPr>
          <w:p>
            <w:pPr>
              <w:spacing w:after="0"/>
            </w:pPr>
            <w:r/>
            <w:r>
              <w:rPr>
                <w:rFonts w:ascii="Arial" w:hAnsi="Arial"/>
                <w:b w:val="0"/>
                <w:sz w:val="16"/>
              </w:rPr>
              <w:t>Maîtrise</w:t>
            </w:r>
          </w:p>
        </w:tc>
      </w:tr>
      <w:tr>
        <w:tc>
          <w:tcPr>
            <w:tcW w:type="dxa" w:w="1134"/>
            <w:vAlign w:val="center"/>
          </w:tcPr>
          <w:p>
            <w:pPr>
              <w:spacing w:after="0"/>
            </w:pPr>
            <w:r/>
            <w:r>
              <w:rPr>
                <w:rFonts w:ascii="Arial" w:hAnsi="Arial"/>
                <w:b w:val="0"/>
                <w:sz w:val="16"/>
              </w:rPr>
              <w:t>6</w:t>
            </w:r>
          </w:p>
        </w:tc>
        <w:tc>
          <w:tcPr>
            <w:tcW w:type="dxa" w:w="3402"/>
            <w:vAlign w:val="center"/>
          </w:tcPr>
          <w:p>
            <w:pPr>
              <w:spacing w:after="0"/>
            </w:pPr>
            <w:r/>
            <w:r>
              <w:rPr>
                <w:rFonts w:ascii="Arial" w:hAnsi="Arial"/>
                <w:b w:val="0"/>
                <w:sz w:val="16"/>
              </w:rPr>
              <w:t>Ceinture noire — 1er degré</w:t>
            </w:r>
          </w:p>
        </w:tc>
        <w:tc>
          <w:tcPr>
            <w:tcW w:type="dxa" w:w="4535"/>
            <w:vAlign w:val="center"/>
          </w:tcPr>
          <w:p>
            <w:pPr>
              <w:spacing w:after="0"/>
            </w:pPr>
            <w:r/>
            <w:r>
              <w:rPr>
                <w:rFonts w:ascii="Arial" w:hAnsi="Arial"/>
                <w:b w:val="0"/>
                <w:sz w:val="16"/>
              </w:rPr>
              <w:t>Maîtrise transversale du Thaing</w:t>
            </w:r>
          </w:p>
        </w:tc>
      </w:tr>
      <w:tr>
        <w:tc>
          <w:tcPr>
            <w:tcW w:type="dxa" w:w="3437"/>
          </w:tcPr>
          <w:p>
            <w:r/>
            <w:r>
              <w:rPr>
                <w:rFonts w:ascii="Arial" w:hAnsi="Arial"/>
                <w:b w:val="0"/>
                <w:sz w:val="16"/>
              </w:rPr>
              <w:t>7</w:t>
            </w:r>
          </w:p>
        </w:tc>
        <w:tc>
          <w:tcPr>
            <w:tcW w:type="dxa" w:w="3437"/>
          </w:tcPr>
          <w:p>
            <w:r/>
            <w:r>
              <w:rPr>
                <w:rFonts w:ascii="Arial" w:hAnsi="Arial"/>
                <w:b w:val="0"/>
                <w:sz w:val="16"/>
              </w:rPr>
              <w:t>Ceinture noire — 2e degré</w:t>
            </w:r>
          </w:p>
        </w:tc>
        <w:tc>
          <w:tcPr>
            <w:tcW w:type="dxa" w:w="3437"/>
          </w:tcPr>
          <w:p>
            <w:r/>
            <w:r>
              <w:rPr>
                <w:rFonts w:ascii="Arial" w:hAnsi="Arial"/>
                <w:b w:val="0"/>
                <w:sz w:val="16"/>
              </w:rPr>
              <w:t>Perfectionnement / reconnaissance d’acquis</w:t>
            </w:r>
          </w:p>
        </w:tc>
      </w:tr>
      <w:tr>
        <w:tc>
          <w:tcPr>
            <w:tcW w:type="dxa" w:w="3437"/>
          </w:tcPr>
          <w:p>
            <w:r/>
            <w:r>
              <w:rPr>
                <w:rFonts w:ascii="Arial" w:hAnsi="Arial"/>
                <w:b w:val="0"/>
                <w:sz w:val="16"/>
              </w:rPr>
              <w:t>8</w:t>
            </w:r>
          </w:p>
        </w:tc>
        <w:tc>
          <w:tcPr>
            <w:tcW w:type="dxa" w:w="3437"/>
          </w:tcPr>
          <w:p>
            <w:r/>
            <w:r>
              <w:rPr>
                <w:rFonts w:ascii="Arial" w:hAnsi="Arial"/>
                <w:b w:val="0"/>
                <w:sz w:val="16"/>
              </w:rPr>
              <w:t>Ceinture noire — 3e degré = 1er niveau</w:t>
            </w:r>
          </w:p>
        </w:tc>
        <w:tc>
          <w:tcPr>
            <w:tcW w:type="dxa" w:w="3437"/>
          </w:tcPr>
          <w:p>
            <w:r/>
            <w:r>
              <w:rPr>
                <w:rFonts w:ascii="Arial" w:hAnsi="Arial"/>
                <w:b w:val="0"/>
                <w:sz w:val="16"/>
              </w:rPr>
              <w:t>Baptême traditionnel • bague du bambou</w:t>
            </w:r>
          </w:p>
        </w:tc>
      </w:tr>
      <w:tr>
        <w:tc>
          <w:tcPr>
            <w:tcW w:type="dxa" w:w="3437"/>
          </w:tcPr>
          <w:p>
            <w:r/>
            <w:r>
              <w:rPr>
                <w:rFonts w:ascii="Arial" w:hAnsi="Arial"/>
                <w:b w:val="0"/>
                <w:sz w:val="16"/>
              </w:rPr>
              <w:t>9</w:t>
            </w:r>
          </w:p>
        </w:tc>
        <w:tc>
          <w:tcPr>
            <w:tcW w:type="dxa" w:w="3437"/>
          </w:tcPr>
          <w:p>
            <w:r/>
            <w:r>
              <w:rPr>
                <w:rFonts w:ascii="Arial" w:hAnsi="Arial"/>
                <w:b w:val="0"/>
                <w:sz w:val="16"/>
              </w:rPr>
              <w:t>Ceinture noire — 4e degré = 2e niveau</w:t>
            </w:r>
          </w:p>
        </w:tc>
        <w:tc>
          <w:tcPr>
            <w:tcW w:type="dxa" w:w="3437"/>
          </w:tcPr>
          <w:p>
            <w:r/>
            <w:r>
              <w:rPr>
                <w:rFonts w:ascii="Arial" w:hAnsi="Arial"/>
                <w:b w:val="0"/>
                <w:sz w:val="16"/>
              </w:rPr>
              <w:t>Progression traditionnelle</w:t>
            </w:r>
          </w:p>
        </w:tc>
      </w:tr>
      <w:tr>
        <w:tc>
          <w:tcPr>
            <w:tcW w:type="dxa" w:w="3437"/>
          </w:tcPr>
          <w:p>
            <w:r/>
            <w:r>
              <w:rPr>
                <w:rFonts w:ascii="Arial" w:hAnsi="Arial"/>
                <w:b w:val="0"/>
                <w:sz w:val="16"/>
              </w:rPr>
              <w:t>10</w:t>
            </w:r>
          </w:p>
        </w:tc>
        <w:tc>
          <w:tcPr>
            <w:tcW w:type="dxa" w:w="3437"/>
          </w:tcPr>
          <w:p>
            <w:r/>
            <w:r>
              <w:rPr>
                <w:rFonts w:ascii="Arial" w:hAnsi="Arial"/>
                <w:b w:val="0"/>
                <w:sz w:val="16"/>
              </w:rPr>
              <w:t>Ceinture noire — 5e degré = 3e niveau</w:t>
            </w:r>
          </w:p>
        </w:tc>
        <w:tc>
          <w:tcPr>
            <w:tcW w:type="dxa" w:w="3437"/>
          </w:tcPr>
          <w:p>
            <w:r/>
            <w:r>
              <w:rPr>
                <w:rFonts w:ascii="Arial" w:hAnsi="Arial"/>
                <w:b w:val="0"/>
                <w:sz w:val="16"/>
              </w:rPr>
              <w:t>Progression traditionnelle</w:t>
            </w:r>
          </w:p>
        </w:tc>
      </w:tr>
      <w:tr>
        <w:tc>
          <w:tcPr>
            <w:tcW w:type="dxa" w:w="3437"/>
          </w:tcPr>
          <w:p>
            <w:r/>
            <w:r>
              <w:rPr>
                <w:rFonts w:ascii="Arial" w:hAnsi="Arial"/>
                <w:b w:val="0"/>
                <w:sz w:val="16"/>
              </w:rPr>
              <w:t>11</w:t>
            </w:r>
          </w:p>
        </w:tc>
        <w:tc>
          <w:tcPr>
            <w:tcW w:type="dxa" w:w="3437"/>
          </w:tcPr>
          <w:p>
            <w:r/>
            <w:r>
              <w:rPr>
                <w:rFonts w:ascii="Arial" w:hAnsi="Arial"/>
                <w:b w:val="0"/>
                <w:sz w:val="16"/>
              </w:rPr>
              <w:t>Ceinture noire — 6e degré = 4e niveau</w:t>
            </w:r>
          </w:p>
        </w:tc>
        <w:tc>
          <w:tcPr>
            <w:tcW w:type="dxa" w:w="3437"/>
          </w:tcPr>
          <w:p>
            <w:r/>
            <w:r>
              <w:rPr>
                <w:rFonts w:ascii="Arial" w:hAnsi="Arial"/>
                <w:b w:val="0"/>
                <w:sz w:val="16"/>
              </w:rPr>
              <w:t>Progression traditionnelle</w:t>
            </w:r>
          </w:p>
        </w:tc>
      </w:tr>
      <w:tr>
        <w:tc>
          <w:tcPr>
            <w:tcW w:type="dxa" w:w="3437"/>
          </w:tcPr>
          <w:p>
            <w:r/>
            <w:r>
              <w:rPr>
                <w:rFonts w:ascii="Arial" w:hAnsi="Arial"/>
                <w:b w:val="0"/>
                <w:sz w:val="16"/>
              </w:rPr>
              <w:t>12</w:t>
            </w:r>
          </w:p>
        </w:tc>
        <w:tc>
          <w:tcPr>
            <w:tcW w:type="dxa" w:w="3437"/>
          </w:tcPr>
          <w:p>
            <w:r/>
            <w:r>
              <w:rPr>
                <w:rFonts w:ascii="Arial" w:hAnsi="Arial"/>
                <w:b w:val="0"/>
                <w:sz w:val="16"/>
              </w:rPr>
              <w:t>Ceinture noire — 7e degré = 5e niveau</w:t>
            </w:r>
          </w:p>
        </w:tc>
        <w:tc>
          <w:tcPr>
            <w:tcW w:type="dxa" w:w="3437"/>
          </w:tcPr>
          <w:p>
            <w:r/>
            <w:r>
              <w:rPr>
                <w:rFonts w:ascii="Arial" w:hAnsi="Arial"/>
                <w:b w:val="0"/>
                <w:sz w:val="16"/>
              </w:rPr>
              <w:t>Progression traditionnelle</w:t>
            </w:r>
          </w:p>
        </w:tc>
      </w:tr>
      <w:tr>
        <w:tc>
          <w:tcPr>
            <w:tcW w:type="dxa" w:w="3437"/>
          </w:tcPr>
          <w:p>
            <w:r/>
            <w:r>
              <w:rPr>
                <w:rFonts w:ascii="Arial" w:hAnsi="Arial"/>
                <w:b w:val="0"/>
                <w:sz w:val="16"/>
              </w:rPr>
              <w:t>13</w:t>
            </w:r>
          </w:p>
        </w:tc>
        <w:tc>
          <w:tcPr>
            <w:tcW w:type="dxa" w:w="3437"/>
          </w:tcPr>
          <w:p>
            <w:r/>
            <w:r>
              <w:rPr>
                <w:rFonts w:ascii="Arial" w:hAnsi="Arial"/>
                <w:b w:val="0"/>
                <w:sz w:val="16"/>
              </w:rPr>
              <w:t>Ceinture noire — 8e degré = 6e niveau</w:t>
            </w:r>
          </w:p>
        </w:tc>
        <w:tc>
          <w:tcPr>
            <w:tcW w:type="dxa" w:w="3437"/>
          </w:tcPr>
          <w:p>
            <w:r/>
            <w:r>
              <w:rPr>
                <w:rFonts w:ascii="Arial" w:hAnsi="Arial"/>
                <w:b w:val="0"/>
                <w:sz w:val="16"/>
              </w:rPr>
              <w:t>Progression traditionnelle</w:t>
            </w:r>
          </w:p>
        </w:tc>
      </w:tr>
      <w:tr>
        <w:tc>
          <w:tcPr>
            <w:tcW w:type="dxa" w:w="3437"/>
          </w:tcPr>
          <w:p>
            <w:r/>
            <w:r>
              <w:rPr>
                <w:rFonts w:ascii="Arial" w:hAnsi="Arial"/>
                <w:b w:val="0"/>
                <w:sz w:val="16"/>
              </w:rPr>
              <w:t>14</w:t>
            </w:r>
          </w:p>
        </w:tc>
        <w:tc>
          <w:tcPr>
            <w:tcW w:type="dxa" w:w="3437"/>
          </w:tcPr>
          <w:p>
            <w:r/>
            <w:r>
              <w:rPr>
                <w:rFonts w:ascii="Arial" w:hAnsi="Arial"/>
                <w:b w:val="0"/>
                <w:sz w:val="16"/>
              </w:rPr>
              <w:t>Ceinture noire — 9e degré = 7e niveau</w:t>
            </w:r>
          </w:p>
        </w:tc>
        <w:tc>
          <w:tcPr>
            <w:tcW w:type="dxa" w:w="3437"/>
          </w:tcPr>
          <w:p>
            <w:r/>
            <w:r>
              <w:rPr>
                <w:rFonts w:ascii="Arial" w:hAnsi="Arial"/>
                <w:b w:val="0"/>
                <w:sz w:val="16"/>
              </w:rPr>
              <w:t>Progression traditionnelle</w:t>
            </w:r>
          </w:p>
        </w:tc>
      </w:tr>
      <w:tr>
        <w:tc>
          <w:tcPr>
            <w:tcW w:type="dxa" w:w="3437"/>
          </w:tcPr>
          <w:p>
            <w:r/>
            <w:r>
              <w:rPr>
                <w:rFonts w:ascii="Arial" w:hAnsi="Arial"/>
                <w:b w:val="0"/>
                <w:sz w:val="16"/>
              </w:rPr>
              <w:t>15</w:t>
            </w:r>
          </w:p>
        </w:tc>
        <w:tc>
          <w:tcPr>
            <w:tcW w:type="dxa" w:w="3437"/>
          </w:tcPr>
          <w:p>
            <w:r/>
            <w:r>
              <w:rPr>
                <w:rFonts w:ascii="Arial" w:hAnsi="Arial"/>
                <w:b w:val="0"/>
                <w:sz w:val="16"/>
              </w:rPr>
              <w:t>Ceinture noire — 10e degré = 8e niveau</w:t>
            </w:r>
          </w:p>
        </w:tc>
        <w:tc>
          <w:tcPr>
            <w:tcW w:type="dxa" w:w="3437"/>
          </w:tcPr>
          <w:p>
            <w:r/>
            <w:r>
              <w:rPr>
                <w:rFonts w:ascii="Arial" w:hAnsi="Arial"/>
                <w:b w:val="0"/>
                <w:sz w:val="16"/>
              </w:rPr>
              <w:t>Progression traditionnelle</w:t>
            </w:r>
          </w:p>
        </w:tc>
      </w:tr>
      <w:tr>
        <w:tc>
          <w:tcPr>
            <w:tcW w:type="dxa" w:w="3437"/>
          </w:tcPr>
          <w:p>
            <w:r/>
            <w:r>
              <w:rPr>
                <w:rFonts w:ascii="Arial" w:hAnsi="Arial"/>
                <w:b w:val="0"/>
                <w:sz w:val="16"/>
              </w:rPr>
              <w:t>16</w:t>
            </w:r>
          </w:p>
        </w:tc>
        <w:tc>
          <w:tcPr>
            <w:tcW w:type="dxa" w:w="3437"/>
          </w:tcPr>
          <w:p>
            <w:r/>
            <w:r>
              <w:rPr>
                <w:rFonts w:ascii="Arial" w:hAnsi="Arial"/>
                <w:b w:val="0"/>
                <w:sz w:val="16"/>
              </w:rPr>
              <w:t>Ceinture noire — 11e degré = 9e niveau</w:t>
            </w:r>
          </w:p>
        </w:tc>
        <w:tc>
          <w:tcPr>
            <w:tcW w:type="dxa" w:w="3437"/>
          </w:tcPr>
          <w:p>
            <w:r/>
            <w:r>
              <w:rPr>
                <w:rFonts w:ascii="Arial" w:hAnsi="Arial"/>
                <w:b w:val="0"/>
                <w:sz w:val="16"/>
              </w:rPr>
              <w:t>Très haut niveau traditionnel</w:t>
            </w:r>
          </w:p>
        </w:tc>
      </w:tr>
      <w:tr>
        <w:tc>
          <w:tcPr>
            <w:tcW w:type="dxa" w:w="3437"/>
          </w:tcPr>
          <w:p>
            <w:r/>
            <w:r>
              <w:rPr>
                <w:rFonts w:ascii="Arial" w:hAnsi="Arial"/>
                <w:b w:val="0"/>
                <w:sz w:val="16"/>
              </w:rPr>
              <w:t>17</w:t>
            </w:r>
          </w:p>
        </w:tc>
        <w:tc>
          <w:tcPr>
            <w:tcW w:type="dxa" w:w="3437"/>
          </w:tcPr>
          <w:p>
            <w:r/>
            <w:r>
              <w:rPr>
                <w:rFonts w:ascii="Arial" w:hAnsi="Arial"/>
                <w:b w:val="0"/>
                <w:sz w:val="16"/>
              </w:rPr>
              <w:t>Ceinture noire — 12e degré = 10e niveau</w:t>
            </w:r>
          </w:p>
        </w:tc>
        <w:tc>
          <w:tcPr>
            <w:tcW w:type="dxa" w:w="3437"/>
          </w:tcPr>
          <w:p>
            <w:r/>
            <w:r>
              <w:rPr>
                <w:rFonts w:ascii="Arial" w:hAnsi="Arial"/>
                <w:b w:val="0"/>
                <w:sz w:val="16"/>
              </w:rPr>
              <w:t>Niveau traditionnel suprême</w:t>
            </w:r>
          </w:p>
        </w:tc>
      </w:tr>
    </w:tbl>
    <w:p>
      <w:r>
        <w:rPr>
          <w:b/>
          <w:color w:val="17365D"/>
          <w:sz w:val="24"/>
        </w:rPr>
        <w:t>CORRESPONDANCE DES DEGRÉS ET DES NIVEAUX TRADITIONNELS</w:t>
      </w:r>
    </w:p>
    <w:p>
      <w:r>
        <w:t>La correspondance ci-dessous constitue la nomenclature fédérale de référence. Les degrés 1 et 2 permettent une intégration individualisée d’acquis antérieurs, par discipline ou spécialité, sur décision de la commission compétente après évaluation. Cette reconnaissance n’est ni automatique ni une équivalence générale de diplômes ou de grades externes.</w:t>
      </w:r>
    </w:p>
    <w:p>
      <w:r>
        <w:t>Exemples : un pratiquant hautement qualifié en jiu-jitsu ou grappling peut être évalué pour une reconnaissance en Naban ; un spécialiste d’armes traditionnelles en Banshay ; un combattant confirmé de boxe pieds-poings en Lethwei. Le grade attribué précise la discipline ou le champ technique reconnu lorsque la reconnaissance n’est pas transversale au Thaing.</w:t>
      </w:r>
    </w:p>
    <w:tbl>
      <w:tblPr>
        <w:tblStyle w:val="TableGrid"/>
        <w:tblW w:type="auto" w:w="0"/>
        <w:jc w:val="center"/>
        <w:tblLook w:firstColumn="1" w:firstRow="1" w:lastColumn="0" w:lastRow="0" w:noHBand="0" w:noVBand="1" w:val="04A0"/>
      </w:tblPr>
      <w:tblGrid>
        <w:gridCol w:w="3437"/>
        <w:gridCol w:w="3437"/>
        <w:gridCol w:w="3437"/>
      </w:tblGrid>
      <w:tr>
        <w:tc>
          <w:tcPr>
            <w:tcW w:type="dxa" w:w="3437"/>
            <w:shd w:fill="17365D"/>
          </w:tcPr>
          <w:p>
            <w:r/>
            <w:r>
              <w:rPr>
                <w:rFonts w:ascii="Arial" w:hAnsi="Arial"/>
                <w:b/>
                <w:color w:val="FFFFFF"/>
                <w:sz w:val="16"/>
              </w:rPr>
              <w:t>Degré de ceinture noire</w:t>
            </w:r>
          </w:p>
        </w:tc>
        <w:tc>
          <w:tcPr>
            <w:tcW w:type="dxa" w:w="3437"/>
            <w:shd w:fill="17365D"/>
          </w:tcPr>
          <w:p>
            <w:r/>
            <w:r>
              <w:rPr>
                <w:rFonts w:ascii="Arial" w:hAnsi="Arial"/>
                <w:b/>
                <w:color w:val="FFFFFF"/>
                <w:sz w:val="16"/>
              </w:rPr>
              <w:t>Niveau traditionnel</w:t>
            </w:r>
          </w:p>
        </w:tc>
        <w:tc>
          <w:tcPr>
            <w:tcW w:type="dxa" w:w="3437"/>
            <w:shd w:fill="17365D"/>
          </w:tcPr>
          <w:p>
            <w:r/>
            <w:r>
              <w:rPr>
                <w:rFonts w:ascii="Arial" w:hAnsi="Arial"/>
                <w:b/>
                <w:color w:val="FFFFFF"/>
                <w:sz w:val="16"/>
              </w:rPr>
              <w:t>Statut dans le système</w:t>
            </w:r>
          </w:p>
        </w:tc>
      </w:tr>
      <w:tr>
        <w:tc>
          <w:tcPr>
            <w:tcW w:type="dxa" w:w="3437"/>
            <w:shd w:fill="FFFFFF"/>
          </w:tcPr>
          <w:p>
            <w:r/>
            <w:r>
              <w:rPr>
                <w:rFonts w:ascii="Arial" w:hAnsi="Arial"/>
                <w:b w:val="0"/>
                <w:sz w:val="15"/>
              </w:rPr>
              <w:t>1er degré</w:t>
            </w:r>
          </w:p>
        </w:tc>
        <w:tc>
          <w:tcPr>
            <w:tcW w:type="dxa" w:w="3437"/>
            <w:shd w:fill="FFFFFF"/>
          </w:tcPr>
          <w:p>
            <w:r/>
            <w:r>
              <w:rPr>
                <w:rFonts w:ascii="Arial" w:hAnsi="Arial"/>
                <w:b w:val="0"/>
                <w:sz w:val="15"/>
              </w:rPr>
              <w:t>—</w:t>
            </w:r>
          </w:p>
        </w:tc>
        <w:tc>
          <w:tcPr>
            <w:tcW w:type="dxa" w:w="3437"/>
            <w:shd w:fill="FFFFFF"/>
          </w:tcPr>
          <w:p>
            <w:r/>
            <w:r>
              <w:rPr>
                <w:rFonts w:ascii="Arial" w:hAnsi="Arial"/>
                <w:b w:val="0"/>
                <w:sz w:val="15"/>
              </w:rPr>
              <w:t>Accès ceinture noire / intégration possible sur acquis évalués</w:t>
            </w:r>
          </w:p>
        </w:tc>
      </w:tr>
      <w:tr>
        <w:tc>
          <w:tcPr>
            <w:tcW w:type="dxa" w:w="3437"/>
            <w:shd w:fill="F3F6FA"/>
          </w:tcPr>
          <w:p>
            <w:r/>
            <w:r>
              <w:rPr>
                <w:rFonts w:ascii="Arial" w:hAnsi="Arial"/>
                <w:b w:val="0"/>
                <w:sz w:val="15"/>
              </w:rPr>
              <w:t>2e degré</w:t>
            </w:r>
          </w:p>
        </w:tc>
        <w:tc>
          <w:tcPr>
            <w:tcW w:type="dxa" w:w="3437"/>
            <w:shd w:fill="F3F6FA"/>
          </w:tcPr>
          <w:p>
            <w:r/>
            <w:r>
              <w:rPr>
                <w:rFonts w:ascii="Arial" w:hAnsi="Arial"/>
                <w:b w:val="0"/>
                <w:sz w:val="15"/>
              </w:rPr>
              <w:t>—</w:t>
            </w:r>
          </w:p>
        </w:tc>
        <w:tc>
          <w:tcPr>
            <w:tcW w:type="dxa" w:w="3437"/>
            <w:shd w:fill="F3F6FA"/>
          </w:tcPr>
          <w:p>
            <w:r/>
            <w:r>
              <w:rPr>
                <w:rFonts w:ascii="Arial" w:hAnsi="Arial"/>
                <w:b w:val="0"/>
                <w:sz w:val="15"/>
              </w:rPr>
              <w:t>Perfectionnement / intégration possible sur acquis évalués</w:t>
            </w:r>
          </w:p>
        </w:tc>
      </w:tr>
      <w:tr>
        <w:tc>
          <w:tcPr>
            <w:tcW w:type="dxa" w:w="3437"/>
            <w:shd w:fill="FFFFFF"/>
          </w:tcPr>
          <w:p>
            <w:r/>
            <w:r>
              <w:rPr>
                <w:rFonts w:ascii="Arial" w:hAnsi="Arial"/>
                <w:b w:val="0"/>
                <w:sz w:val="15"/>
              </w:rPr>
              <w:t>3e degré</w:t>
            </w:r>
          </w:p>
        </w:tc>
        <w:tc>
          <w:tcPr>
            <w:tcW w:type="dxa" w:w="3437"/>
            <w:shd w:fill="FFFFFF"/>
          </w:tcPr>
          <w:p>
            <w:r/>
            <w:r>
              <w:rPr>
                <w:rFonts w:ascii="Arial" w:hAnsi="Arial"/>
                <w:b w:val="0"/>
                <w:sz w:val="15"/>
              </w:rPr>
              <w:t>1er niveau</w:t>
            </w:r>
          </w:p>
        </w:tc>
        <w:tc>
          <w:tcPr>
            <w:tcW w:type="dxa" w:w="3437"/>
            <w:shd w:fill="FFFFFF"/>
          </w:tcPr>
          <w:p>
            <w:r/>
            <w:r>
              <w:rPr>
                <w:rFonts w:ascii="Arial" w:hAnsi="Arial"/>
                <w:b w:val="0"/>
                <w:sz w:val="15"/>
              </w:rPr>
              <w:t>Baptême traditionnel ; bague du bambou ; pratiquant traditionnel confirmé</w:t>
            </w:r>
          </w:p>
        </w:tc>
      </w:tr>
      <w:tr>
        <w:tc>
          <w:tcPr>
            <w:tcW w:type="dxa" w:w="3437"/>
            <w:shd w:fill="F3F6FA"/>
          </w:tcPr>
          <w:p>
            <w:r/>
            <w:r>
              <w:rPr>
                <w:rFonts w:ascii="Arial" w:hAnsi="Arial"/>
                <w:b w:val="0"/>
                <w:sz w:val="15"/>
              </w:rPr>
              <w:t>4e degré</w:t>
            </w:r>
          </w:p>
        </w:tc>
        <w:tc>
          <w:tcPr>
            <w:tcW w:type="dxa" w:w="3437"/>
            <w:shd w:fill="F3F6FA"/>
          </w:tcPr>
          <w:p>
            <w:r/>
            <w:r>
              <w:rPr>
                <w:rFonts w:ascii="Arial" w:hAnsi="Arial"/>
                <w:b w:val="0"/>
                <w:sz w:val="15"/>
              </w:rPr>
              <w:t>2e niveau</w:t>
            </w:r>
          </w:p>
        </w:tc>
        <w:tc>
          <w:tcPr>
            <w:tcW w:type="dxa" w:w="3437"/>
            <w:shd w:fill="F3F6FA"/>
          </w:tcPr>
          <w:p>
            <w:r/>
            <w:r>
              <w:rPr>
                <w:rFonts w:ascii="Arial" w:hAnsi="Arial"/>
                <w:b w:val="0"/>
                <w:sz w:val="15"/>
              </w:rPr>
              <w:t>Progression traditionnelle</w:t>
            </w:r>
          </w:p>
        </w:tc>
      </w:tr>
      <w:tr>
        <w:tc>
          <w:tcPr>
            <w:tcW w:type="dxa" w:w="3437"/>
            <w:shd w:fill="FFFFFF"/>
          </w:tcPr>
          <w:p>
            <w:r/>
            <w:r>
              <w:rPr>
                <w:rFonts w:ascii="Arial" w:hAnsi="Arial"/>
                <w:b w:val="0"/>
                <w:sz w:val="15"/>
              </w:rPr>
              <w:t>5e degré</w:t>
            </w:r>
          </w:p>
        </w:tc>
        <w:tc>
          <w:tcPr>
            <w:tcW w:type="dxa" w:w="3437"/>
            <w:shd w:fill="FFFFFF"/>
          </w:tcPr>
          <w:p>
            <w:r/>
            <w:r>
              <w:rPr>
                <w:rFonts w:ascii="Arial" w:hAnsi="Arial"/>
                <w:b w:val="0"/>
                <w:sz w:val="15"/>
              </w:rPr>
              <w:t>3e niveau</w:t>
            </w:r>
          </w:p>
        </w:tc>
        <w:tc>
          <w:tcPr>
            <w:tcW w:type="dxa" w:w="3437"/>
            <w:shd w:fill="FFFFFF"/>
          </w:tcPr>
          <w:p>
            <w:r/>
            <w:r>
              <w:rPr>
                <w:rFonts w:ascii="Arial" w:hAnsi="Arial"/>
                <w:b w:val="0"/>
                <w:sz w:val="15"/>
              </w:rPr>
              <w:t>Progression traditionnelle</w:t>
            </w:r>
          </w:p>
        </w:tc>
      </w:tr>
      <w:tr>
        <w:tc>
          <w:tcPr>
            <w:tcW w:type="dxa" w:w="3437"/>
            <w:shd w:fill="F3F6FA"/>
          </w:tcPr>
          <w:p>
            <w:r/>
            <w:r>
              <w:rPr>
                <w:rFonts w:ascii="Arial" w:hAnsi="Arial"/>
                <w:b w:val="0"/>
                <w:sz w:val="15"/>
              </w:rPr>
              <w:t>6e degré</w:t>
            </w:r>
          </w:p>
        </w:tc>
        <w:tc>
          <w:tcPr>
            <w:tcW w:type="dxa" w:w="3437"/>
            <w:shd w:fill="F3F6FA"/>
          </w:tcPr>
          <w:p>
            <w:r/>
            <w:r>
              <w:rPr>
                <w:rFonts w:ascii="Arial" w:hAnsi="Arial"/>
                <w:b w:val="0"/>
                <w:sz w:val="15"/>
              </w:rPr>
              <w:t>4e niveau</w:t>
            </w:r>
          </w:p>
        </w:tc>
        <w:tc>
          <w:tcPr>
            <w:tcW w:type="dxa" w:w="3437"/>
            <w:shd w:fill="F3F6FA"/>
          </w:tcPr>
          <w:p>
            <w:r/>
            <w:r>
              <w:rPr>
                <w:rFonts w:ascii="Arial" w:hAnsi="Arial"/>
                <w:b w:val="0"/>
                <w:sz w:val="15"/>
              </w:rPr>
              <w:t>Progression traditionnelle</w:t>
            </w:r>
          </w:p>
        </w:tc>
      </w:tr>
      <w:tr>
        <w:tc>
          <w:tcPr>
            <w:tcW w:type="dxa" w:w="3437"/>
            <w:shd w:fill="FFFFFF"/>
          </w:tcPr>
          <w:p>
            <w:r/>
            <w:r>
              <w:rPr>
                <w:rFonts w:ascii="Arial" w:hAnsi="Arial"/>
                <w:b w:val="0"/>
                <w:sz w:val="15"/>
              </w:rPr>
              <w:t>7e degré</w:t>
            </w:r>
          </w:p>
        </w:tc>
        <w:tc>
          <w:tcPr>
            <w:tcW w:type="dxa" w:w="3437"/>
            <w:shd w:fill="FFFFFF"/>
          </w:tcPr>
          <w:p>
            <w:r/>
            <w:r>
              <w:rPr>
                <w:rFonts w:ascii="Arial" w:hAnsi="Arial"/>
                <w:b w:val="0"/>
                <w:sz w:val="15"/>
              </w:rPr>
              <w:t>5e niveau</w:t>
            </w:r>
          </w:p>
        </w:tc>
        <w:tc>
          <w:tcPr>
            <w:tcW w:type="dxa" w:w="3437"/>
            <w:shd w:fill="FFFFFF"/>
          </w:tcPr>
          <w:p>
            <w:r/>
            <w:r>
              <w:rPr>
                <w:rFonts w:ascii="Arial" w:hAnsi="Arial"/>
                <w:b w:val="0"/>
                <w:sz w:val="15"/>
              </w:rPr>
              <w:t>Progression traditionnelle</w:t>
            </w:r>
          </w:p>
        </w:tc>
      </w:tr>
      <w:tr>
        <w:tc>
          <w:tcPr>
            <w:tcW w:type="dxa" w:w="3437"/>
            <w:shd w:fill="F3F6FA"/>
          </w:tcPr>
          <w:p>
            <w:r/>
            <w:r>
              <w:rPr>
                <w:rFonts w:ascii="Arial" w:hAnsi="Arial"/>
                <w:b w:val="0"/>
                <w:sz w:val="15"/>
              </w:rPr>
              <w:t>8e degré</w:t>
            </w:r>
          </w:p>
        </w:tc>
        <w:tc>
          <w:tcPr>
            <w:tcW w:type="dxa" w:w="3437"/>
            <w:shd w:fill="F3F6FA"/>
          </w:tcPr>
          <w:p>
            <w:r/>
            <w:r>
              <w:rPr>
                <w:rFonts w:ascii="Arial" w:hAnsi="Arial"/>
                <w:b w:val="0"/>
                <w:sz w:val="15"/>
              </w:rPr>
              <w:t>6e niveau</w:t>
            </w:r>
          </w:p>
        </w:tc>
        <w:tc>
          <w:tcPr>
            <w:tcW w:type="dxa" w:w="3437"/>
            <w:shd w:fill="F3F6FA"/>
          </w:tcPr>
          <w:p>
            <w:r/>
            <w:r>
              <w:rPr>
                <w:rFonts w:ascii="Arial" w:hAnsi="Arial"/>
                <w:b w:val="0"/>
                <w:sz w:val="15"/>
              </w:rPr>
              <w:t>Progression traditionnelle</w:t>
            </w:r>
          </w:p>
        </w:tc>
      </w:tr>
      <w:tr>
        <w:tc>
          <w:tcPr>
            <w:tcW w:type="dxa" w:w="3437"/>
            <w:shd w:fill="FFFFFF"/>
          </w:tcPr>
          <w:p>
            <w:r/>
            <w:r>
              <w:rPr>
                <w:rFonts w:ascii="Arial" w:hAnsi="Arial"/>
                <w:b w:val="0"/>
                <w:sz w:val="15"/>
              </w:rPr>
              <w:t>9e degré</w:t>
            </w:r>
          </w:p>
        </w:tc>
        <w:tc>
          <w:tcPr>
            <w:tcW w:type="dxa" w:w="3437"/>
            <w:shd w:fill="FFFFFF"/>
          </w:tcPr>
          <w:p>
            <w:r/>
            <w:r>
              <w:rPr>
                <w:rFonts w:ascii="Arial" w:hAnsi="Arial"/>
                <w:b w:val="0"/>
                <w:sz w:val="15"/>
              </w:rPr>
              <w:t>7e niveau</w:t>
            </w:r>
          </w:p>
        </w:tc>
        <w:tc>
          <w:tcPr>
            <w:tcW w:type="dxa" w:w="3437"/>
            <w:shd w:fill="FFFFFF"/>
          </w:tcPr>
          <w:p>
            <w:r/>
            <w:r>
              <w:rPr>
                <w:rFonts w:ascii="Arial" w:hAnsi="Arial"/>
                <w:b w:val="0"/>
                <w:sz w:val="15"/>
              </w:rPr>
              <w:t>Progression traditionnelle</w:t>
            </w:r>
          </w:p>
        </w:tc>
      </w:tr>
      <w:tr>
        <w:tc>
          <w:tcPr>
            <w:tcW w:type="dxa" w:w="3437"/>
            <w:shd w:fill="F3F6FA"/>
          </w:tcPr>
          <w:p>
            <w:r/>
            <w:r>
              <w:rPr>
                <w:rFonts w:ascii="Arial" w:hAnsi="Arial"/>
                <w:b w:val="0"/>
                <w:sz w:val="15"/>
              </w:rPr>
              <w:t>10e degré</w:t>
            </w:r>
          </w:p>
        </w:tc>
        <w:tc>
          <w:tcPr>
            <w:tcW w:type="dxa" w:w="3437"/>
            <w:shd w:fill="F3F6FA"/>
          </w:tcPr>
          <w:p>
            <w:r/>
            <w:r>
              <w:rPr>
                <w:rFonts w:ascii="Arial" w:hAnsi="Arial"/>
                <w:b w:val="0"/>
                <w:sz w:val="15"/>
              </w:rPr>
              <w:t>8e niveau</w:t>
            </w:r>
          </w:p>
        </w:tc>
        <w:tc>
          <w:tcPr>
            <w:tcW w:type="dxa" w:w="3437"/>
            <w:shd w:fill="F3F6FA"/>
          </w:tcPr>
          <w:p>
            <w:r/>
            <w:r>
              <w:rPr>
                <w:rFonts w:ascii="Arial" w:hAnsi="Arial"/>
                <w:b w:val="0"/>
                <w:sz w:val="15"/>
              </w:rPr>
              <w:t>Progression traditionnelle</w:t>
            </w:r>
          </w:p>
        </w:tc>
      </w:tr>
      <w:tr>
        <w:tc>
          <w:tcPr>
            <w:tcW w:type="dxa" w:w="3437"/>
            <w:shd w:fill="FFFFFF"/>
          </w:tcPr>
          <w:p>
            <w:r/>
            <w:r>
              <w:rPr>
                <w:rFonts w:ascii="Arial" w:hAnsi="Arial"/>
                <w:b w:val="0"/>
                <w:sz w:val="15"/>
              </w:rPr>
              <w:t>11e degré</w:t>
            </w:r>
          </w:p>
        </w:tc>
        <w:tc>
          <w:tcPr>
            <w:tcW w:type="dxa" w:w="3437"/>
            <w:shd w:fill="FFFFFF"/>
          </w:tcPr>
          <w:p>
            <w:r/>
            <w:r>
              <w:rPr>
                <w:rFonts w:ascii="Arial" w:hAnsi="Arial"/>
                <w:b w:val="0"/>
                <w:sz w:val="15"/>
              </w:rPr>
              <w:t>9e niveau</w:t>
            </w:r>
          </w:p>
        </w:tc>
        <w:tc>
          <w:tcPr>
            <w:tcW w:type="dxa" w:w="3437"/>
            <w:shd w:fill="FFFFFF"/>
          </w:tcPr>
          <w:p>
            <w:r/>
            <w:r>
              <w:rPr>
                <w:rFonts w:ascii="Arial" w:hAnsi="Arial"/>
                <w:b w:val="0"/>
                <w:sz w:val="15"/>
              </w:rPr>
              <w:t>Très haut niveau traditionnel</w:t>
            </w:r>
          </w:p>
        </w:tc>
      </w:tr>
      <w:tr>
        <w:tc>
          <w:tcPr>
            <w:tcW w:type="dxa" w:w="3437"/>
            <w:shd w:fill="F3F6FA"/>
          </w:tcPr>
          <w:p>
            <w:r/>
            <w:r>
              <w:rPr>
                <w:rFonts w:ascii="Arial" w:hAnsi="Arial"/>
                <w:b w:val="0"/>
                <w:sz w:val="15"/>
              </w:rPr>
              <w:t>12e degré</w:t>
            </w:r>
          </w:p>
        </w:tc>
        <w:tc>
          <w:tcPr>
            <w:tcW w:type="dxa" w:w="3437"/>
            <w:shd w:fill="F3F6FA"/>
          </w:tcPr>
          <w:p>
            <w:r/>
            <w:r>
              <w:rPr>
                <w:rFonts w:ascii="Arial" w:hAnsi="Arial"/>
                <w:b w:val="0"/>
                <w:sz w:val="15"/>
              </w:rPr>
              <w:t>10e niveau</w:t>
            </w:r>
          </w:p>
        </w:tc>
        <w:tc>
          <w:tcPr>
            <w:tcW w:type="dxa" w:w="3437"/>
            <w:shd w:fill="F3F6FA"/>
          </w:tcPr>
          <w:p>
            <w:r/>
            <w:r>
              <w:rPr>
                <w:rFonts w:ascii="Arial" w:hAnsi="Arial"/>
                <w:b w:val="0"/>
                <w:sz w:val="15"/>
              </w:rPr>
              <w:t>Niveau traditionnel suprême</w:t>
            </w:r>
          </w:p>
        </w:tc>
      </w:tr>
    </w:tbl>
    <w:p>
      <w:pPr>
        <w:spacing w:after="20"/>
      </w:pPr>
    </w:p>
    <w:p>
      <w:pPr>
        <w:pStyle w:val="Article"/>
      </w:pPr>
      <w:r>
        <w:t>Article 4 — Niveau débutant / ceinture blanche</w:t>
      </w:r>
    </w:p>
    <w:p>
      <w:pPr>
        <w:keepLines/>
      </w:pPr>
      <w:r>
        <w:t>Le niveau débutant correspond à la ceinture blanche. Le pratiquant porte donc une ceinture dès son entrée dans le cursus. La ceinture blanche constitue le niveau initial du référentiel et sa validation relève de l’enseignant ; elle atteste l’acquisition des connaissances élémentaires permettant d’aborder la préparation de la ceinture jaune en sécurité.</w:t>
      </w:r>
    </w:p>
    <w:p>
      <w:pPr>
        <w:pStyle w:val="Article"/>
      </w:pPr>
      <w:r>
        <w:t>Article 5 — Degrés et niveaux supérieurs</w:t>
      </w:r>
    </w:p>
    <w:p>
      <w:pPr>
        <w:keepLines/>
      </w:pPr>
      <w:r>
        <w:t>Le système supérieur distingue les degrés de ceinture noire des niveaux traditionnels. Les 1er et 2e degrés constituent des degrés d’intégration et de reconnaissance technique : ils permettent notamment de tenir compte d’acquis antérieurs issus d’autres arts martiaux, sports de combat ou spécialités compatibles, après évaluation fédérale, sans imposer au pratiquant de recommencer l’ensemble du cursus depuis la ceinture blanche. À compter du 3e degré commence la progression en niveaux traditionnels : 3e degré = 1er niveau ; 4e degré = 2e niveau ; et ainsi de suite jusqu’au 12e degré = 10e niveau. Le 1er niveau marque le baptême traditionnel, le port de la bague du bambou et l’entrée confirmée dans le cursus traditionnel. Les conditions techniques, d’ancienneté, de transmission et de reconnaissance de ces degrés et niveaux font l’objet d’une annexe spécifique.</w:t>
      </w:r>
    </w:p>
    <w:p>
      <w:pPr>
        <w:pStyle w:val="Heading1"/>
      </w:pPr>
      <w:r>
        <w:t>TITRE III — CONDITIONS D’INSCRIPTION</w:t>
      </w:r>
    </w:p>
    <w:p>
      <w:pPr>
        <w:pStyle w:val="Article"/>
      </w:pPr>
      <w:r>
        <w:t>Article 6 — Conditions administratives</w:t>
      </w:r>
    </w:p>
    <w:p>
      <w:pPr>
        <w:keepLines/>
      </w:pPr>
      <w:r>
        <w:t>Le candidat doit être régulièrement enregistré selon les modalités fédérales de la saison, présenter une identité vérifiable, justifier du grade précédent lorsqu’il existe, être inscrit dans les délais annoncés, acquitter le droit d’inscription éventuel et satisfaire aux exigences administratives et sanitaires applicables à la session.</w:t>
      </w:r>
    </w:p>
    <w:p>
      <w:pPr>
        <w:pStyle w:val="Article"/>
      </w:pPr>
      <w:r>
        <w:t>Article 7 — Mineurs</w:t>
      </w:r>
    </w:p>
    <w:p>
      <w:pPr>
        <w:keepLines/>
      </w:pPr>
      <w:r>
        <w:t>La participation d’un candidat mineur est soumise aux autorisations et formalités requises. Les épreuves sont adaptées à l’âge, au développement physique et au niveau technique du candidat.</w:t>
      </w:r>
    </w:p>
    <w:p>
      <w:pPr>
        <w:pStyle w:val="Article"/>
      </w:pPr>
      <w:r>
        <w:t>Article 8 — Aptitude et état de santé</w:t>
      </w:r>
    </w:p>
    <w:p>
      <w:pPr>
        <w:keepLines/>
      </w:pPr>
      <w:r>
        <w:t>Le candidat doit se présenter dans un état compatible avec les épreuves. Toute blessure, malaise ou situation rendant la poursuite inappropriée doit être signalé au responsable de session. Les documents médicaux ou questionnaires exigibles sont ceux prévus par la réglementation et les dispositions fédérales en vigueur.</w:t>
      </w:r>
    </w:p>
    <w:p>
      <w:pPr>
        <w:pStyle w:val="Article"/>
      </w:pPr>
      <w:r>
        <w:t>Article 9 — Temps de préparation</w:t>
      </w:r>
    </w:p>
    <w:p>
      <w:pPr>
        <w:keepLines/>
      </w:pPr>
      <w:r>
        <w:t>Les délais minimaux entre grades sont fixés par la Commission fédérale des grades et publiés dans une annexe administrative. Ils peuvent tenir compte de l’assiduité, de l’expérience, de l’âge et du niveau présenté. Pour une demande d’intégration directe au 1er ou au 2e degré de ceinture noire, la commission examine les titres, grades, expérience, spécialité, ancienneté et niveau technique effectif du candidat ; une évaluation pratique reste obligatoire.</w:t>
      </w:r>
    </w:p>
    <w:p>
      <w:r>
        <w:br w:type="page"/>
      </w:r>
    </w:p>
    <w:p>
      <w:pPr>
        <w:pStyle w:val="Heading1"/>
      </w:pPr>
      <w:r>
        <w:t>TITRE IV — PROGRAMME TECHNIQUE PAR NIVEAU</w:t>
      </w:r>
    </w:p>
    <w:p>
      <w:r>
        <w:t>Les tableaux ci-dessous constituent le socle minimal exigible. Le jury peut interroger le candidat sur les acquis des niveaux précédents.</w:t>
      </w:r>
    </w:p>
    <w:p>
      <w:pPr>
        <w:pStyle w:val="Heading2"/>
      </w:pPr>
      <w:r>
        <w:t>NIVEAU 0 — DÉBUTANT / CEINTURE BLANCHE</w:t>
      </w:r>
    </w:p>
    <w:p>
      <w:pPr>
        <w:jc w:val="left"/>
      </w:pPr>
      <w:r>
        <w:rPr>
          <w:b/>
          <w:color w:val="666666"/>
        </w:rPr>
        <w:t>Phase préparatoire</w:t>
      </w: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2438"/>
            <w:vAlign w:val="center"/>
            <w:shd w:fill="17365D"/>
          </w:tcPr>
          <w:p>
            <w:pPr>
              <w:spacing w:after="0"/>
            </w:pPr>
            <w:r/>
            <w:r>
              <w:rPr>
                <w:rFonts w:ascii="Arial" w:hAnsi="Arial"/>
                <w:b/>
                <w:color w:val="FFFFFF"/>
                <w:sz w:val="16"/>
              </w:rPr>
              <w:t>Domaine</w:t>
            </w:r>
          </w:p>
        </w:tc>
        <w:tc>
          <w:tcPr>
            <w:tcW w:type="dxa" w:w="7257"/>
            <w:vAlign w:val="center"/>
            <w:shd w:fill="17365D"/>
          </w:tcPr>
          <w:p>
            <w:pPr>
              <w:spacing w:after="0"/>
            </w:pPr>
            <w:r/>
            <w:r>
              <w:rPr>
                <w:rFonts w:ascii="Arial" w:hAnsi="Arial"/>
                <w:b/>
                <w:color w:val="FFFFFF"/>
                <w:sz w:val="16"/>
              </w:rPr>
              <w:t>Techniques / exigences</w:t>
            </w:r>
          </w:p>
        </w:tc>
      </w:tr>
      <w:tr>
        <w:tc>
          <w:tcPr>
            <w:tcW w:type="dxa" w:w="2438"/>
            <w:vAlign w:val="center"/>
          </w:tcPr>
          <w:p>
            <w:pPr>
              <w:spacing w:after="0"/>
            </w:pPr>
            <w:r/>
            <w:r>
              <w:rPr>
                <w:rFonts w:ascii="Arial" w:hAnsi="Arial"/>
                <w:b w:val="0"/>
                <w:sz w:val="16"/>
              </w:rPr>
              <w:t>Bando</w:t>
            </w:r>
          </w:p>
        </w:tc>
        <w:tc>
          <w:tcPr>
            <w:tcW w:type="dxa" w:w="7257"/>
            <w:vAlign w:val="center"/>
          </w:tcPr>
          <w:p>
            <w:pPr>
              <w:spacing w:after="0"/>
            </w:pPr>
            <w:r/>
            <w:r>
              <w:rPr>
                <w:rFonts w:ascii="Arial" w:hAnsi="Arial"/>
                <w:b w:val="0"/>
                <w:sz w:val="16"/>
              </w:rPr>
              <w:t>Salut ; garde ; posture ; équilibre ; déplacements avant/arrière/latéraux ; premières esquives ; direct ; crochet ; Front Kick ; Round House Kick ; blocages simples.</w:t>
            </w:r>
          </w:p>
        </w:tc>
      </w:tr>
      <w:tr>
        <w:tc>
          <w:tcPr>
            <w:tcW w:type="dxa" w:w="2438"/>
            <w:vAlign w:val="center"/>
            <w:shd w:fill="F3F6FA"/>
          </w:tcPr>
          <w:p>
            <w:pPr>
              <w:spacing w:after="0"/>
            </w:pPr>
            <w:r/>
            <w:r>
              <w:rPr>
                <w:rFonts w:ascii="Arial" w:hAnsi="Arial"/>
                <w:b w:val="0"/>
                <w:sz w:val="16"/>
              </w:rPr>
              <w:t>Lethwei</w:t>
            </w:r>
          </w:p>
        </w:tc>
        <w:tc>
          <w:tcPr>
            <w:tcW w:type="dxa" w:w="7257"/>
            <w:vAlign w:val="center"/>
            <w:shd w:fill="F3F6FA"/>
          </w:tcPr>
          <w:p>
            <w:pPr>
              <w:spacing w:after="0"/>
            </w:pPr>
            <w:r/>
            <w:r>
              <w:rPr>
                <w:rFonts w:ascii="Arial" w:hAnsi="Arial"/>
                <w:b w:val="0"/>
                <w:sz w:val="16"/>
              </w:rPr>
              <w:t>Garde, distance, déplacements, poings et pieds avec contrôle.</w:t>
            </w:r>
          </w:p>
        </w:tc>
      </w:tr>
      <w:tr>
        <w:tc>
          <w:tcPr>
            <w:tcW w:type="dxa" w:w="2438"/>
            <w:vAlign w:val="center"/>
          </w:tcPr>
          <w:p>
            <w:pPr>
              <w:spacing w:after="0"/>
            </w:pPr>
            <w:r/>
            <w:r>
              <w:rPr>
                <w:rFonts w:ascii="Arial" w:hAnsi="Arial"/>
                <w:b w:val="0"/>
                <w:sz w:val="16"/>
              </w:rPr>
              <w:t>Naban</w:t>
            </w:r>
          </w:p>
        </w:tc>
        <w:tc>
          <w:tcPr>
            <w:tcW w:type="dxa" w:w="7257"/>
            <w:vAlign w:val="center"/>
          </w:tcPr>
          <w:p>
            <w:pPr>
              <w:spacing w:after="0"/>
            </w:pPr>
            <w:r/>
            <w:r>
              <w:rPr>
                <w:rFonts w:ascii="Arial" w:hAnsi="Arial"/>
                <w:b w:val="0"/>
                <w:sz w:val="16"/>
              </w:rPr>
              <w:t>Chutes élémentaires ; saisies ; dégagement simple ; déséquilibre.</w:t>
            </w:r>
          </w:p>
        </w:tc>
      </w:tr>
      <w:tr>
        <w:tc>
          <w:tcPr>
            <w:tcW w:type="dxa" w:w="2438"/>
            <w:vAlign w:val="center"/>
            <w:shd w:fill="F3F6FA"/>
          </w:tcPr>
          <w:p>
            <w:pPr>
              <w:spacing w:after="0"/>
            </w:pPr>
            <w:r/>
            <w:r>
              <w:rPr>
                <w:rFonts w:ascii="Arial" w:hAnsi="Arial"/>
                <w:b w:val="0"/>
                <w:sz w:val="16"/>
              </w:rPr>
              <w:t>Banshay</w:t>
            </w:r>
          </w:p>
        </w:tc>
        <w:tc>
          <w:tcPr>
            <w:tcW w:type="dxa" w:w="7257"/>
            <w:vAlign w:val="center"/>
            <w:shd w:fill="F3F6FA"/>
          </w:tcPr>
          <w:p>
            <w:pPr>
              <w:spacing w:after="0"/>
            </w:pPr>
            <w:r/>
            <w:r>
              <w:rPr>
                <w:rFonts w:ascii="Arial" w:hAnsi="Arial"/>
                <w:b w:val="0"/>
                <w:sz w:val="16"/>
              </w:rPr>
              <w:t>Aucun maniement d’arme imposé ; règles générales de sécurité.</w:t>
            </w:r>
          </w:p>
        </w:tc>
      </w:tr>
      <w:tr>
        <w:tc>
          <w:tcPr>
            <w:tcW w:type="dxa" w:w="2438"/>
            <w:vAlign w:val="center"/>
          </w:tcPr>
          <w:p>
            <w:pPr>
              <w:spacing w:after="0"/>
            </w:pPr>
            <w:r/>
            <w:r>
              <w:rPr>
                <w:rFonts w:ascii="Arial" w:hAnsi="Arial"/>
                <w:b w:val="0"/>
                <w:sz w:val="16"/>
              </w:rPr>
              <w:t>Min Zin</w:t>
            </w:r>
          </w:p>
        </w:tc>
        <w:tc>
          <w:tcPr>
            <w:tcW w:type="dxa" w:w="7257"/>
            <w:vAlign w:val="center"/>
          </w:tcPr>
          <w:p>
            <w:pPr>
              <w:spacing w:after="0"/>
            </w:pPr>
            <w:r/>
            <w:r>
              <w:rPr>
                <w:rFonts w:ascii="Arial" w:hAnsi="Arial"/>
                <w:b w:val="0"/>
                <w:sz w:val="16"/>
              </w:rPr>
              <w:t>Natural Breathing — respiration naturelle ; relâchement.</w:t>
            </w:r>
          </w:p>
        </w:tc>
      </w:tr>
      <w:tr>
        <w:tc>
          <w:tcPr>
            <w:tcW w:type="dxa" w:w="2438"/>
            <w:vAlign w:val="center"/>
            <w:shd w:fill="F3F6FA"/>
          </w:tcPr>
          <w:p>
            <w:pPr>
              <w:spacing w:after="0"/>
            </w:pPr>
            <w:r/>
            <w:r>
              <w:rPr>
                <w:rFonts w:ascii="Arial" w:hAnsi="Arial"/>
                <w:b w:val="0"/>
                <w:sz w:val="16"/>
              </w:rPr>
              <w:t>Monk System</w:t>
            </w:r>
          </w:p>
        </w:tc>
        <w:tc>
          <w:tcPr>
            <w:tcW w:type="dxa" w:w="7257"/>
            <w:vAlign w:val="center"/>
            <w:shd w:fill="F3F6FA"/>
          </w:tcPr>
          <w:p>
            <w:pPr>
              <w:spacing w:after="0"/>
            </w:pPr>
            <w:r/>
            <w:r>
              <w:rPr>
                <w:rFonts w:ascii="Arial" w:hAnsi="Arial"/>
                <w:b w:val="0"/>
                <w:sz w:val="16"/>
              </w:rPr>
              <w:t>Introduction au principe d’évitement et de non-confrontation.</w:t>
            </w:r>
          </w:p>
        </w:tc>
      </w:tr>
      <w:tr>
        <w:tc>
          <w:tcPr>
            <w:tcW w:type="dxa" w:w="2438"/>
            <w:vAlign w:val="center"/>
          </w:tcPr>
          <w:p>
            <w:pPr>
              <w:spacing w:after="0"/>
            </w:pPr>
            <w:r/>
            <w:r>
              <w:rPr>
                <w:rFonts w:ascii="Arial" w:hAnsi="Arial"/>
                <w:b w:val="0"/>
                <w:sz w:val="16"/>
              </w:rPr>
              <w:t>Forme</w:t>
            </w:r>
          </w:p>
        </w:tc>
        <w:tc>
          <w:tcPr>
            <w:tcW w:type="dxa" w:w="7257"/>
            <w:vAlign w:val="center"/>
          </w:tcPr>
          <w:p>
            <w:pPr>
              <w:spacing w:after="0"/>
            </w:pPr>
            <w:r/>
            <w:r>
              <w:rPr>
                <w:rFonts w:ascii="Arial" w:hAnsi="Arial"/>
                <w:b w:val="0"/>
                <w:sz w:val="16"/>
              </w:rPr>
              <w:t>Aucune forme imposée.</w:t>
            </w:r>
          </w:p>
        </w:tc>
      </w:tr>
      <w:tr>
        <w:tc>
          <w:tcPr>
            <w:tcW w:type="dxa" w:w="2438"/>
            <w:vAlign w:val="center"/>
            <w:shd w:fill="F3F6FA"/>
          </w:tcPr>
          <w:p>
            <w:pPr>
              <w:spacing w:after="0"/>
            </w:pPr>
            <w:r/>
            <w:r>
              <w:rPr>
                <w:rFonts w:ascii="Arial" w:hAnsi="Arial"/>
                <w:b w:val="0"/>
                <w:sz w:val="16"/>
              </w:rPr>
              <w:t>Validation</w:t>
            </w:r>
          </w:p>
        </w:tc>
        <w:tc>
          <w:tcPr>
            <w:tcW w:type="dxa" w:w="7257"/>
            <w:vAlign w:val="center"/>
            <w:shd w:fill="F3F6FA"/>
          </w:tcPr>
          <w:p>
            <w:pPr>
              <w:spacing w:after="0"/>
            </w:pPr>
            <w:r/>
            <w:r>
              <w:rPr>
                <w:rFonts w:ascii="Arial" w:hAnsi="Arial"/>
                <w:b w:val="0"/>
                <w:sz w:val="16"/>
              </w:rPr>
              <w:t>Validation pédagogique par l’enseignant ; sans notation fédérale.</w:t>
            </w:r>
          </w:p>
        </w:tc>
      </w:tr>
    </w:tbl>
    <w:p>
      <w:pPr>
        <w:spacing w:after="20"/>
      </w:pPr>
    </w:p>
    <w:p>
      <w:pPr>
        <w:pStyle w:val="Heading2"/>
      </w:pPr>
      <w:r>
        <w:t>NIVEAU 1 — CEINTURE JAUNE</w:t>
      </w:r>
    </w:p>
    <w:p>
      <w:pPr>
        <w:jc w:val="left"/>
      </w:pPr>
      <w:r>
        <w:rPr>
          <w:b/>
          <w:color w:val="666666"/>
        </w:rPr>
        <w:t>Fondamentaux : se déplacer • se protéger • frapper • contrôler</w:t>
      </w: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2438"/>
            <w:vAlign w:val="center"/>
            <w:shd w:fill="17365D"/>
          </w:tcPr>
          <w:p>
            <w:pPr>
              <w:spacing w:after="0"/>
            </w:pPr>
            <w:r/>
            <w:r>
              <w:rPr>
                <w:rFonts w:ascii="Arial" w:hAnsi="Arial"/>
                <w:b/>
                <w:color w:val="FFFFFF"/>
                <w:sz w:val="16"/>
              </w:rPr>
              <w:t>Domaine</w:t>
            </w:r>
          </w:p>
        </w:tc>
        <w:tc>
          <w:tcPr>
            <w:tcW w:type="dxa" w:w="7257"/>
            <w:vAlign w:val="center"/>
            <w:shd w:fill="17365D"/>
          </w:tcPr>
          <w:p>
            <w:pPr>
              <w:spacing w:after="0"/>
            </w:pPr>
            <w:r/>
            <w:r>
              <w:rPr>
                <w:rFonts w:ascii="Arial" w:hAnsi="Arial"/>
                <w:b/>
                <w:color w:val="FFFFFF"/>
                <w:sz w:val="16"/>
              </w:rPr>
              <w:t>Techniques / exigences</w:t>
            </w:r>
          </w:p>
        </w:tc>
      </w:tr>
      <w:tr>
        <w:tc>
          <w:tcPr>
            <w:tcW w:type="dxa" w:w="2438"/>
            <w:vAlign w:val="center"/>
          </w:tcPr>
          <w:p>
            <w:pPr>
              <w:spacing w:after="0"/>
            </w:pPr>
            <w:r/>
            <w:r>
              <w:rPr>
                <w:rFonts w:ascii="Arial" w:hAnsi="Arial"/>
                <w:b w:val="0"/>
                <w:sz w:val="16"/>
              </w:rPr>
              <w:t>Gardes</w:t>
            </w:r>
          </w:p>
        </w:tc>
        <w:tc>
          <w:tcPr>
            <w:tcW w:type="dxa" w:w="7257"/>
            <w:vAlign w:val="center"/>
          </w:tcPr>
          <w:p>
            <w:pPr>
              <w:spacing w:after="0"/>
            </w:pPr>
            <w:r/>
            <w:r>
              <w:rPr>
                <w:rFonts w:ascii="Arial" w:hAnsi="Arial"/>
                <w:b w:val="0"/>
                <w:sz w:val="16"/>
              </w:rPr>
              <w:t>Cavalier, Buffle, Tigre, Panthère, Cobra, Vipère, Boxeur, Bando.</w:t>
            </w:r>
          </w:p>
        </w:tc>
      </w:tr>
      <w:tr>
        <w:tc>
          <w:tcPr>
            <w:tcW w:type="dxa" w:w="2438"/>
            <w:vAlign w:val="center"/>
            <w:shd w:fill="F3F6FA"/>
          </w:tcPr>
          <w:p>
            <w:pPr>
              <w:spacing w:after="0"/>
            </w:pPr>
            <w:r/>
            <w:r>
              <w:rPr>
                <w:rFonts w:ascii="Arial" w:hAnsi="Arial"/>
                <w:b w:val="0"/>
                <w:sz w:val="16"/>
              </w:rPr>
              <w:t>Déplacements</w:t>
            </w:r>
          </w:p>
        </w:tc>
        <w:tc>
          <w:tcPr>
            <w:tcW w:type="dxa" w:w="7257"/>
            <w:vAlign w:val="center"/>
            <w:shd w:fill="F3F6FA"/>
          </w:tcPr>
          <w:p>
            <w:pPr>
              <w:spacing w:after="0"/>
            </w:pPr>
            <w:r/>
            <w:r>
              <w:rPr>
                <w:rFonts w:ascii="Arial" w:hAnsi="Arial"/>
                <w:b w:val="0"/>
                <w:sz w:val="16"/>
              </w:rPr>
              <w:t>Avant, arrière, droite, gauche, latéral droit et latéral gauche.</w:t>
            </w:r>
          </w:p>
        </w:tc>
      </w:tr>
      <w:tr>
        <w:tc>
          <w:tcPr>
            <w:tcW w:type="dxa" w:w="2438"/>
            <w:vAlign w:val="center"/>
          </w:tcPr>
          <w:p>
            <w:pPr>
              <w:spacing w:after="0"/>
            </w:pPr>
            <w:r/>
            <w:r>
              <w:rPr>
                <w:rFonts w:ascii="Arial" w:hAnsi="Arial"/>
                <w:b w:val="0"/>
                <w:sz w:val="16"/>
              </w:rPr>
              <w:t>Esquives</w:t>
            </w:r>
          </w:p>
        </w:tc>
        <w:tc>
          <w:tcPr>
            <w:tcW w:type="dxa" w:w="7257"/>
            <w:vAlign w:val="center"/>
          </w:tcPr>
          <w:p>
            <w:pPr>
              <w:spacing w:after="0"/>
            </w:pPr>
            <w:r/>
            <w:r>
              <w:rPr>
                <w:rFonts w:ascii="Arial" w:hAnsi="Arial"/>
                <w:b w:val="0"/>
                <w:sz w:val="16"/>
              </w:rPr>
              <w:t>Retrait, baisse, sortie latérale.</w:t>
            </w:r>
          </w:p>
        </w:tc>
      </w:tr>
      <w:tr>
        <w:tc>
          <w:tcPr>
            <w:tcW w:type="dxa" w:w="2438"/>
            <w:vAlign w:val="center"/>
            <w:shd w:fill="F3F6FA"/>
          </w:tcPr>
          <w:p>
            <w:pPr>
              <w:spacing w:after="0"/>
            </w:pPr>
            <w:r/>
            <w:r>
              <w:rPr>
                <w:rFonts w:ascii="Arial" w:hAnsi="Arial"/>
                <w:b w:val="0"/>
                <w:sz w:val="16"/>
              </w:rPr>
              <w:t>Poings</w:t>
            </w:r>
          </w:p>
        </w:tc>
        <w:tc>
          <w:tcPr>
            <w:tcW w:type="dxa" w:w="7257"/>
            <w:vAlign w:val="center"/>
            <w:shd w:fill="F3F6FA"/>
          </w:tcPr>
          <w:p>
            <w:pPr>
              <w:spacing w:after="0"/>
            </w:pPr>
            <w:r/>
            <w:r>
              <w:rPr>
                <w:rFonts w:ascii="Arial" w:hAnsi="Arial"/>
                <w:b w:val="0"/>
                <w:sz w:val="16"/>
              </w:rPr>
              <w:t>Cobra / face médium court, direct, crochet, uppercut, revers, marteau.</w:t>
            </w:r>
          </w:p>
        </w:tc>
      </w:tr>
      <w:tr>
        <w:tc>
          <w:tcPr>
            <w:tcW w:type="dxa" w:w="2438"/>
            <w:vAlign w:val="center"/>
          </w:tcPr>
          <w:p>
            <w:pPr>
              <w:spacing w:after="0"/>
            </w:pPr>
            <w:r/>
            <w:r>
              <w:rPr>
                <w:rFonts w:ascii="Arial" w:hAnsi="Arial"/>
                <w:b w:val="0"/>
                <w:sz w:val="16"/>
              </w:rPr>
              <w:t>Pieds</w:t>
            </w:r>
          </w:p>
        </w:tc>
        <w:tc>
          <w:tcPr>
            <w:tcW w:type="dxa" w:w="7257"/>
            <w:vAlign w:val="center"/>
          </w:tcPr>
          <w:p>
            <w:pPr>
              <w:spacing w:after="0"/>
            </w:pPr>
            <w:r/>
            <w:r>
              <w:rPr>
                <w:rFonts w:ascii="Arial" w:hAnsi="Arial"/>
                <w:b w:val="0"/>
                <w:sz w:val="16"/>
              </w:rPr>
              <w:t>Front Kick, Stick Kick, Side Kick, Round House Kick, Crescent Kick.</w:t>
            </w:r>
          </w:p>
        </w:tc>
      </w:tr>
      <w:tr>
        <w:tc>
          <w:tcPr>
            <w:tcW w:type="dxa" w:w="2438"/>
            <w:vAlign w:val="center"/>
            <w:shd w:fill="F3F6FA"/>
          </w:tcPr>
          <w:p>
            <w:pPr>
              <w:spacing w:after="0"/>
            </w:pPr>
            <w:r/>
            <w:r>
              <w:rPr>
                <w:rFonts w:ascii="Arial" w:hAnsi="Arial"/>
                <w:b w:val="0"/>
                <w:sz w:val="16"/>
              </w:rPr>
              <w:t>Coudes</w:t>
            </w:r>
          </w:p>
        </w:tc>
        <w:tc>
          <w:tcPr>
            <w:tcW w:type="dxa" w:w="7257"/>
            <w:vAlign w:val="center"/>
            <w:shd w:fill="F3F6FA"/>
          </w:tcPr>
          <w:p>
            <w:pPr>
              <w:spacing w:after="0"/>
            </w:pPr>
            <w:r/>
            <w:r>
              <w:rPr>
                <w:rFonts w:ascii="Arial" w:hAnsi="Arial"/>
                <w:b w:val="0"/>
                <w:sz w:val="16"/>
              </w:rPr>
              <w:t>Introduction : horizontal, remontant, descendant.</w:t>
            </w:r>
          </w:p>
        </w:tc>
      </w:tr>
      <w:tr>
        <w:tc>
          <w:tcPr>
            <w:tcW w:type="dxa" w:w="2438"/>
            <w:vAlign w:val="center"/>
          </w:tcPr>
          <w:p>
            <w:pPr>
              <w:spacing w:after="0"/>
            </w:pPr>
            <w:r/>
            <w:r>
              <w:rPr>
                <w:rFonts w:ascii="Arial" w:hAnsi="Arial"/>
                <w:b w:val="0"/>
                <w:sz w:val="16"/>
              </w:rPr>
              <w:t>Genoux</w:t>
            </w:r>
          </w:p>
        </w:tc>
        <w:tc>
          <w:tcPr>
            <w:tcW w:type="dxa" w:w="7257"/>
            <w:vAlign w:val="center"/>
          </w:tcPr>
          <w:p>
            <w:pPr>
              <w:spacing w:after="0"/>
            </w:pPr>
            <w:r/>
            <w:r>
              <w:rPr>
                <w:rFonts w:ascii="Arial" w:hAnsi="Arial"/>
                <w:b w:val="0"/>
                <w:sz w:val="16"/>
              </w:rPr>
              <w:t>Genou direct et diagonal.</w:t>
            </w:r>
          </w:p>
        </w:tc>
      </w:tr>
      <w:tr>
        <w:tc>
          <w:tcPr>
            <w:tcW w:type="dxa" w:w="2438"/>
            <w:vAlign w:val="center"/>
            <w:shd w:fill="F3F6FA"/>
          </w:tcPr>
          <w:p>
            <w:pPr>
              <w:spacing w:after="0"/>
            </w:pPr>
            <w:r/>
            <w:r>
              <w:rPr>
                <w:rFonts w:ascii="Arial" w:hAnsi="Arial"/>
                <w:b w:val="0"/>
                <w:sz w:val="16"/>
              </w:rPr>
              <w:t>Blocages</w:t>
            </w:r>
          </w:p>
        </w:tc>
        <w:tc>
          <w:tcPr>
            <w:tcW w:type="dxa" w:w="7257"/>
            <w:vAlign w:val="center"/>
            <w:shd w:fill="F3F6FA"/>
          </w:tcPr>
          <w:p>
            <w:pPr>
              <w:spacing w:after="0"/>
            </w:pPr>
            <w:r/>
            <w:r>
              <w:rPr>
                <w:rFonts w:ascii="Arial" w:hAnsi="Arial"/>
                <w:b w:val="0"/>
                <w:sz w:val="16"/>
              </w:rPr>
              <w:t>Haut / Ciel, médian, bas / Point, intérieur / extérieur.</w:t>
            </w:r>
          </w:p>
        </w:tc>
      </w:tr>
      <w:tr>
        <w:tc>
          <w:tcPr>
            <w:tcW w:type="dxa" w:w="2438"/>
            <w:vAlign w:val="center"/>
          </w:tcPr>
          <w:p>
            <w:pPr>
              <w:spacing w:after="0"/>
            </w:pPr>
            <w:r/>
            <w:r>
              <w:rPr>
                <w:rFonts w:ascii="Arial" w:hAnsi="Arial"/>
                <w:b w:val="0"/>
                <w:sz w:val="16"/>
              </w:rPr>
              <w:t>Naban</w:t>
            </w:r>
          </w:p>
        </w:tc>
        <w:tc>
          <w:tcPr>
            <w:tcW w:type="dxa" w:w="7257"/>
            <w:vAlign w:val="center"/>
          </w:tcPr>
          <w:p>
            <w:pPr>
              <w:spacing w:after="0"/>
            </w:pPr>
            <w:r/>
            <w:r>
              <w:rPr>
                <w:rFonts w:ascii="Arial" w:hAnsi="Arial"/>
                <w:b w:val="0"/>
                <w:sz w:val="16"/>
              </w:rPr>
              <w:t>Chutes ; 2 déséquilibres ; 2 amenées au sol ; 2 immobilisations ; dégagement de saisie.</w:t>
            </w:r>
          </w:p>
        </w:tc>
      </w:tr>
      <w:tr>
        <w:tc>
          <w:tcPr>
            <w:tcW w:type="dxa" w:w="2438"/>
            <w:vAlign w:val="center"/>
            <w:shd w:fill="F3F6FA"/>
          </w:tcPr>
          <w:p>
            <w:pPr>
              <w:spacing w:after="0"/>
            </w:pPr>
            <w:r/>
            <w:r>
              <w:rPr>
                <w:rFonts w:ascii="Arial" w:hAnsi="Arial"/>
                <w:b w:val="0"/>
                <w:sz w:val="16"/>
              </w:rPr>
              <w:t>Lethwei</w:t>
            </w:r>
          </w:p>
        </w:tc>
        <w:tc>
          <w:tcPr>
            <w:tcW w:type="dxa" w:w="7257"/>
            <w:vAlign w:val="center"/>
            <w:shd w:fill="F3F6FA"/>
          </w:tcPr>
          <w:p>
            <w:pPr>
              <w:spacing w:after="0"/>
            </w:pPr>
            <w:r/>
            <w:r>
              <w:rPr>
                <w:rFonts w:ascii="Arial" w:hAnsi="Arial"/>
                <w:b w:val="0"/>
                <w:sz w:val="16"/>
              </w:rPr>
              <w:t>Poing-poing ; poing-pied ; pied-poing ; initiation genou/coude sur cible.</w:t>
            </w:r>
          </w:p>
        </w:tc>
      </w:tr>
      <w:tr>
        <w:tc>
          <w:tcPr>
            <w:tcW w:type="dxa" w:w="2438"/>
            <w:vAlign w:val="center"/>
          </w:tcPr>
          <w:p>
            <w:pPr>
              <w:spacing w:after="0"/>
            </w:pPr>
            <w:r/>
            <w:r>
              <w:rPr>
                <w:rFonts w:ascii="Arial" w:hAnsi="Arial"/>
                <w:b w:val="0"/>
                <w:sz w:val="16"/>
              </w:rPr>
              <w:t>Banshay</w:t>
            </w:r>
          </w:p>
        </w:tc>
        <w:tc>
          <w:tcPr>
            <w:tcW w:type="dxa" w:w="7257"/>
            <w:vAlign w:val="center"/>
          </w:tcPr>
          <w:p>
            <w:pPr>
              <w:spacing w:after="0"/>
            </w:pPr>
            <w:r/>
            <w:r>
              <w:rPr>
                <w:rFonts w:ascii="Arial" w:hAnsi="Arial"/>
                <w:b w:val="0"/>
                <w:sz w:val="16"/>
              </w:rPr>
              <w:t>Salut, distances et règles de sécurité ; aucune forme d’arme obligatoire.</w:t>
            </w:r>
          </w:p>
        </w:tc>
      </w:tr>
      <w:tr>
        <w:tc>
          <w:tcPr>
            <w:tcW w:type="dxa" w:w="2438"/>
            <w:vAlign w:val="center"/>
            <w:shd w:fill="F3F6FA"/>
          </w:tcPr>
          <w:p>
            <w:pPr>
              <w:spacing w:after="0"/>
            </w:pPr>
            <w:r/>
            <w:r>
              <w:rPr>
                <w:rFonts w:ascii="Arial" w:hAnsi="Arial"/>
                <w:b w:val="0"/>
                <w:sz w:val="16"/>
              </w:rPr>
              <w:t>Min Zin</w:t>
            </w:r>
          </w:p>
        </w:tc>
        <w:tc>
          <w:tcPr>
            <w:tcW w:type="dxa" w:w="7257"/>
            <w:vAlign w:val="center"/>
            <w:shd w:fill="F3F6FA"/>
          </w:tcPr>
          <w:p>
            <w:pPr>
              <w:spacing w:after="0"/>
            </w:pPr>
            <w:r/>
            <w:r>
              <w:rPr>
                <w:rFonts w:ascii="Arial" w:hAnsi="Arial"/>
                <w:b w:val="0"/>
                <w:sz w:val="16"/>
              </w:rPr>
              <w:t>Natural Breathing + Regulated Breathing.</w:t>
            </w:r>
          </w:p>
        </w:tc>
      </w:tr>
      <w:tr>
        <w:tc>
          <w:tcPr>
            <w:tcW w:type="dxa" w:w="2438"/>
            <w:vAlign w:val="center"/>
          </w:tcPr>
          <w:p>
            <w:pPr>
              <w:spacing w:after="0"/>
            </w:pPr>
            <w:r/>
            <w:r>
              <w:rPr>
                <w:rFonts w:ascii="Arial" w:hAnsi="Arial"/>
                <w:b w:val="0"/>
                <w:sz w:val="16"/>
              </w:rPr>
              <w:t>Monk System</w:t>
            </w:r>
          </w:p>
        </w:tc>
        <w:tc>
          <w:tcPr>
            <w:tcW w:type="dxa" w:w="7257"/>
            <w:vAlign w:val="center"/>
          </w:tcPr>
          <w:p>
            <w:pPr>
              <w:spacing w:after="0"/>
            </w:pPr>
            <w:r/>
            <w:r>
              <w:rPr>
                <w:rFonts w:ascii="Arial" w:hAnsi="Arial"/>
                <w:b w:val="0"/>
                <w:sz w:val="16"/>
              </w:rPr>
              <w:t>Evasive : esquiver, sortir de l’axe, reprendre une distance sûre.</w:t>
            </w:r>
          </w:p>
        </w:tc>
      </w:tr>
      <w:tr>
        <w:tc>
          <w:tcPr>
            <w:tcW w:type="dxa" w:w="2438"/>
            <w:vAlign w:val="center"/>
            <w:shd w:fill="F3F6FA"/>
          </w:tcPr>
          <w:p>
            <w:pPr>
              <w:spacing w:after="0"/>
            </w:pPr>
            <w:r/>
            <w:r>
              <w:rPr>
                <w:rFonts w:ascii="Arial" w:hAnsi="Arial"/>
                <w:b w:val="0"/>
                <w:sz w:val="16"/>
              </w:rPr>
              <w:t>Forme</w:t>
            </w:r>
          </w:p>
        </w:tc>
        <w:tc>
          <w:tcPr>
            <w:tcW w:type="dxa" w:w="7257"/>
            <w:vAlign w:val="center"/>
            <w:shd w:fill="F3F6FA"/>
          </w:tcPr>
          <w:p>
            <w:pPr>
              <w:spacing w:after="0"/>
            </w:pPr>
            <w:r/>
            <w:r>
              <w:rPr>
                <w:rFonts w:ascii="Arial" w:hAnsi="Arial"/>
                <w:b w:val="0"/>
                <w:sz w:val="16"/>
              </w:rPr>
              <w:t>POINT.</w:t>
            </w:r>
          </w:p>
        </w:tc>
      </w:tr>
    </w:tbl>
    <w:p>
      <w:pPr>
        <w:spacing w:after="20"/>
      </w:pP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6803"/>
            <w:vAlign w:val="center"/>
            <w:shd w:fill="17365D"/>
          </w:tcPr>
          <w:p>
            <w:pPr>
              <w:spacing w:after="0"/>
            </w:pPr>
            <w:r/>
            <w:r>
              <w:rPr>
                <w:rFonts w:ascii="Arial" w:hAnsi="Arial"/>
                <w:b/>
                <w:color w:val="FFFFFF"/>
                <w:sz w:val="16"/>
              </w:rPr>
              <w:t>Épreuve</w:t>
            </w:r>
          </w:p>
        </w:tc>
        <w:tc>
          <w:tcPr>
            <w:tcW w:type="dxa" w:w="2268"/>
            <w:vAlign w:val="center"/>
            <w:shd w:fill="17365D"/>
          </w:tcPr>
          <w:p>
            <w:pPr>
              <w:spacing w:after="0"/>
            </w:pPr>
            <w:r/>
            <w:r>
              <w:rPr>
                <w:rFonts w:ascii="Arial" w:hAnsi="Arial"/>
                <w:b/>
                <w:color w:val="FFFFFF"/>
                <w:sz w:val="16"/>
              </w:rPr>
              <w:t>Points</w:t>
            </w:r>
          </w:p>
        </w:tc>
      </w:tr>
      <w:tr>
        <w:tc>
          <w:tcPr>
            <w:tcW w:type="dxa" w:w="6803"/>
            <w:vAlign w:val="center"/>
          </w:tcPr>
          <w:p>
            <w:pPr>
              <w:spacing w:after="0"/>
            </w:pPr>
            <w:r/>
            <w:r>
              <w:rPr>
                <w:rFonts w:ascii="Arial" w:hAnsi="Arial"/>
                <w:b w:val="0"/>
                <w:sz w:val="16"/>
              </w:rPr>
              <w:t>Fondamentaux Bando</w:t>
            </w:r>
          </w:p>
        </w:tc>
        <w:tc>
          <w:tcPr>
            <w:tcW w:type="dxa" w:w="2268"/>
            <w:vAlign w:val="center"/>
          </w:tcPr>
          <w:p>
            <w:pPr>
              <w:spacing w:after="0"/>
            </w:pPr>
            <w:r/>
            <w:r>
              <w:rPr>
                <w:rFonts w:ascii="Arial" w:hAnsi="Arial"/>
                <w:b w:val="0"/>
                <w:sz w:val="16"/>
              </w:rPr>
              <w:t>35</w:t>
            </w:r>
          </w:p>
        </w:tc>
      </w:tr>
      <w:tr>
        <w:tc>
          <w:tcPr>
            <w:tcW w:type="dxa" w:w="6803"/>
            <w:vAlign w:val="center"/>
            <w:shd w:fill="F3F6FA"/>
          </w:tcPr>
          <w:p>
            <w:pPr>
              <w:spacing w:after="0"/>
            </w:pPr>
            <w:r/>
            <w:r>
              <w:rPr>
                <w:rFonts w:ascii="Arial" w:hAnsi="Arial"/>
                <w:b w:val="0"/>
                <w:sz w:val="16"/>
              </w:rPr>
              <w:t>Forme POINT</w:t>
            </w:r>
          </w:p>
        </w:tc>
        <w:tc>
          <w:tcPr>
            <w:tcW w:type="dxa" w:w="2268"/>
            <w:vAlign w:val="center"/>
            <w:shd w:fill="F3F6FA"/>
          </w:tcPr>
          <w:p>
            <w:pPr>
              <w:spacing w:after="0"/>
            </w:pPr>
            <w:r/>
            <w:r>
              <w:rPr>
                <w:rFonts w:ascii="Arial" w:hAnsi="Arial"/>
                <w:b w:val="0"/>
                <w:sz w:val="16"/>
              </w:rPr>
              <w:t>20</w:t>
            </w:r>
          </w:p>
        </w:tc>
      </w:tr>
      <w:tr>
        <w:tc>
          <w:tcPr>
            <w:tcW w:type="dxa" w:w="6803"/>
            <w:vAlign w:val="center"/>
          </w:tcPr>
          <w:p>
            <w:pPr>
              <w:spacing w:after="0"/>
            </w:pPr>
            <w:r/>
            <w:r>
              <w:rPr>
                <w:rFonts w:ascii="Arial" w:hAnsi="Arial"/>
                <w:b w:val="0"/>
                <w:sz w:val="16"/>
              </w:rPr>
              <w:t>Applications / défenses</w:t>
            </w:r>
          </w:p>
        </w:tc>
        <w:tc>
          <w:tcPr>
            <w:tcW w:type="dxa" w:w="2268"/>
            <w:vAlign w:val="center"/>
          </w:tcPr>
          <w:p>
            <w:pPr>
              <w:spacing w:after="0"/>
            </w:pPr>
            <w:r/>
            <w:r>
              <w:rPr>
                <w:rFonts w:ascii="Arial" w:hAnsi="Arial"/>
                <w:b w:val="0"/>
                <w:sz w:val="16"/>
              </w:rPr>
              <w:t>15</w:t>
            </w:r>
          </w:p>
        </w:tc>
      </w:tr>
      <w:tr>
        <w:tc>
          <w:tcPr>
            <w:tcW w:type="dxa" w:w="6803"/>
            <w:vAlign w:val="center"/>
            <w:shd w:fill="F3F6FA"/>
          </w:tcPr>
          <w:p>
            <w:pPr>
              <w:spacing w:after="0"/>
            </w:pPr>
            <w:r/>
            <w:r>
              <w:rPr>
                <w:rFonts w:ascii="Arial" w:hAnsi="Arial"/>
                <w:b w:val="0"/>
                <w:sz w:val="16"/>
              </w:rPr>
              <w:t>Naban</w:t>
            </w:r>
          </w:p>
        </w:tc>
        <w:tc>
          <w:tcPr>
            <w:tcW w:type="dxa" w:w="2268"/>
            <w:vAlign w:val="center"/>
            <w:shd w:fill="F3F6FA"/>
          </w:tcPr>
          <w:p>
            <w:pPr>
              <w:spacing w:after="0"/>
            </w:pPr>
            <w:r/>
            <w:r>
              <w:rPr>
                <w:rFonts w:ascii="Arial" w:hAnsi="Arial"/>
                <w:b w:val="0"/>
                <w:sz w:val="16"/>
              </w:rPr>
              <w:t>10</w:t>
            </w:r>
          </w:p>
        </w:tc>
      </w:tr>
      <w:tr>
        <w:tc>
          <w:tcPr>
            <w:tcW w:type="dxa" w:w="6803"/>
            <w:vAlign w:val="center"/>
          </w:tcPr>
          <w:p>
            <w:pPr>
              <w:spacing w:after="0"/>
            </w:pPr>
            <w:r/>
            <w:r>
              <w:rPr>
                <w:rFonts w:ascii="Arial" w:hAnsi="Arial"/>
                <w:b w:val="0"/>
                <w:sz w:val="16"/>
              </w:rPr>
              <w:t>Lethwei éducatif</w:t>
            </w:r>
          </w:p>
        </w:tc>
        <w:tc>
          <w:tcPr>
            <w:tcW w:type="dxa" w:w="2268"/>
            <w:vAlign w:val="center"/>
          </w:tcPr>
          <w:p>
            <w:pPr>
              <w:spacing w:after="0"/>
            </w:pPr>
            <w:r/>
            <w:r>
              <w:rPr>
                <w:rFonts w:ascii="Arial" w:hAnsi="Arial"/>
                <w:b w:val="0"/>
                <w:sz w:val="16"/>
              </w:rPr>
              <w:t>10</w:t>
            </w:r>
          </w:p>
        </w:tc>
      </w:tr>
      <w:tr>
        <w:tc>
          <w:tcPr>
            <w:tcW w:type="dxa" w:w="6803"/>
            <w:vAlign w:val="center"/>
            <w:shd w:fill="F3F6FA"/>
          </w:tcPr>
          <w:p>
            <w:pPr>
              <w:spacing w:after="0"/>
            </w:pPr>
            <w:r/>
            <w:r>
              <w:rPr>
                <w:rFonts w:ascii="Arial" w:hAnsi="Arial"/>
                <w:b w:val="0"/>
                <w:sz w:val="16"/>
              </w:rPr>
              <w:t>Min Zin / Monk</w:t>
            </w:r>
          </w:p>
        </w:tc>
        <w:tc>
          <w:tcPr>
            <w:tcW w:type="dxa" w:w="2268"/>
            <w:vAlign w:val="center"/>
            <w:shd w:fill="F3F6FA"/>
          </w:tcPr>
          <w:p>
            <w:pPr>
              <w:spacing w:after="0"/>
            </w:pPr>
            <w:r/>
            <w:r>
              <w:rPr>
                <w:rFonts w:ascii="Arial" w:hAnsi="Arial"/>
                <w:b w:val="0"/>
                <w:sz w:val="16"/>
              </w:rPr>
              <w:t>5</w:t>
            </w:r>
          </w:p>
        </w:tc>
      </w:tr>
      <w:tr>
        <w:tc>
          <w:tcPr>
            <w:tcW w:type="dxa" w:w="6803"/>
            <w:vAlign w:val="center"/>
          </w:tcPr>
          <w:p>
            <w:pPr>
              <w:spacing w:after="0"/>
            </w:pPr>
            <w:r/>
            <w:r>
              <w:rPr>
                <w:rFonts w:ascii="Arial" w:hAnsi="Arial"/>
                <w:b w:val="0"/>
                <w:sz w:val="16"/>
              </w:rPr>
              <w:t>Connaissances / comportement</w:t>
            </w:r>
          </w:p>
        </w:tc>
        <w:tc>
          <w:tcPr>
            <w:tcW w:type="dxa" w:w="2268"/>
            <w:vAlign w:val="center"/>
          </w:tcPr>
          <w:p>
            <w:pPr>
              <w:spacing w:after="0"/>
            </w:pPr>
            <w:r/>
            <w:r>
              <w:rPr>
                <w:rFonts w:ascii="Arial" w:hAnsi="Arial"/>
                <w:b w:val="0"/>
                <w:sz w:val="16"/>
              </w:rPr>
              <w:t>5</w:t>
            </w:r>
          </w:p>
        </w:tc>
      </w:tr>
    </w:tbl>
    <w:p>
      <w:pPr>
        <w:spacing w:after="20"/>
      </w:pPr>
    </w:p>
    <w:p>
      <w:r>
        <w:rPr>
          <w:b/>
          <w:color w:val="C00000"/>
        </w:rPr>
        <w:t>Seuil de validation : 60/100.</w:t>
      </w:r>
    </w:p>
    <w:p>
      <w:pPr>
        <w:pStyle w:val="Heading2"/>
      </w:pPr>
      <w:r>
        <w:t>NIVEAU 2 — CEINTURE ORANGE</w:t>
      </w:r>
    </w:p>
    <w:p>
      <w:pPr>
        <w:jc w:val="left"/>
      </w:pPr>
      <w:r>
        <w:rPr>
          <w:b/>
          <w:color w:val="666666"/>
        </w:rPr>
        <w:t>Construction technique</w:t>
      </w: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2438"/>
            <w:vAlign w:val="center"/>
            <w:shd w:fill="17365D"/>
          </w:tcPr>
          <w:p>
            <w:pPr>
              <w:spacing w:after="0"/>
            </w:pPr>
            <w:r/>
            <w:r>
              <w:rPr>
                <w:rFonts w:ascii="Arial" w:hAnsi="Arial"/>
                <w:b/>
                <w:color w:val="FFFFFF"/>
                <w:sz w:val="16"/>
              </w:rPr>
              <w:t>Domaine</w:t>
            </w:r>
          </w:p>
        </w:tc>
        <w:tc>
          <w:tcPr>
            <w:tcW w:type="dxa" w:w="7257"/>
            <w:vAlign w:val="center"/>
            <w:shd w:fill="17365D"/>
          </w:tcPr>
          <w:p>
            <w:pPr>
              <w:spacing w:after="0"/>
            </w:pPr>
            <w:r/>
            <w:r>
              <w:rPr>
                <w:rFonts w:ascii="Arial" w:hAnsi="Arial"/>
                <w:b/>
                <w:color w:val="FFFFFF"/>
                <w:sz w:val="16"/>
              </w:rPr>
              <w:t>Techniques / exigences</w:t>
            </w:r>
          </w:p>
        </w:tc>
      </w:tr>
      <w:tr>
        <w:tc>
          <w:tcPr>
            <w:tcW w:type="dxa" w:w="2438"/>
            <w:vAlign w:val="center"/>
          </w:tcPr>
          <w:p>
            <w:pPr>
              <w:spacing w:after="0"/>
            </w:pPr>
            <w:r/>
            <w:r>
              <w:rPr>
                <w:rFonts w:ascii="Arial" w:hAnsi="Arial"/>
                <w:b w:val="0"/>
                <w:sz w:val="16"/>
              </w:rPr>
              <w:t>Gardes</w:t>
            </w:r>
          </w:p>
        </w:tc>
        <w:tc>
          <w:tcPr>
            <w:tcW w:type="dxa" w:w="7257"/>
            <w:vAlign w:val="center"/>
          </w:tcPr>
          <w:p>
            <w:pPr>
              <w:spacing w:after="0"/>
            </w:pPr>
            <w:r/>
            <w:r>
              <w:rPr>
                <w:rFonts w:ascii="Arial" w:hAnsi="Arial"/>
                <w:b w:val="0"/>
                <w:sz w:val="16"/>
              </w:rPr>
              <w:t>Acquisition des 12 gardes du référentiel : Cavalier, Sanglier, Buffle, Tigre, Panthère, Cobra, Boa, Vipère, Scorpion, Aigle, Boxeur, Bando.</w:t>
            </w:r>
          </w:p>
        </w:tc>
      </w:tr>
      <w:tr>
        <w:tc>
          <w:tcPr>
            <w:tcW w:type="dxa" w:w="2438"/>
            <w:vAlign w:val="center"/>
            <w:shd w:fill="F3F6FA"/>
          </w:tcPr>
          <w:p>
            <w:pPr>
              <w:spacing w:after="0"/>
            </w:pPr>
            <w:r/>
            <w:r>
              <w:rPr>
                <w:rFonts w:ascii="Arial" w:hAnsi="Arial"/>
                <w:b w:val="0"/>
                <w:sz w:val="16"/>
              </w:rPr>
              <w:t>Déplacements</w:t>
            </w:r>
          </w:p>
        </w:tc>
        <w:tc>
          <w:tcPr>
            <w:tcW w:type="dxa" w:w="7257"/>
            <w:vAlign w:val="center"/>
            <w:shd w:fill="F3F6FA"/>
          </w:tcPr>
          <w:p>
            <w:pPr>
              <w:spacing w:after="0"/>
            </w:pPr>
            <w:r/>
            <w:r>
              <w:rPr>
                <w:rFonts w:ascii="Arial" w:hAnsi="Arial"/>
                <w:b w:val="0"/>
                <w:sz w:val="16"/>
              </w:rPr>
              <w:t>Programme jaune + sauté et rotatif.</w:t>
            </w:r>
          </w:p>
        </w:tc>
      </w:tr>
      <w:tr>
        <w:tc>
          <w:tcPr>
            <w:tcW w:type="dxa" w:w="2438"/>
            <w:vAlign w:val="center"/>
          </w:tcPr>
          <w:p>
            <w:pPr>
              <w:spacing w:after="0"/>
            </w:pPr>
            <w:r/>
            <w:r>
              <w:rPr>
                <w:rFonts w:ascii="Arial" w:hAnsi="Arial"/>
                <w:b w:val="0"/>
                <w:sz w:val="16"/>
              </w:rPr>
              <w:t>Poings</w:t>
            </w:r>
          </w:p>
        </w:tc>
        <w:tc>
          <w:tcPr>
            <w:tcW w:type="dxa" w:w="7257"/>
            <w:vAlign w:val="center"/>
          </w:tcPr>
          <w:p>
            <w:pPr>
              <w:spacing w:after="0"/>
            </w:pPr>
            <w:r/>
            <w:r>
              <w:rPr>
                <w:rFonts w:ascii="Arial" w:hAnsi="Arial"/>
                <w:b w:val="0"/>
                <w:sz w:val="16"/>
              </w:rPr>
              <w:t>Répertoire des 9 techniques fondamentales retenues par la commission technique.</w:t>
            </w:r>
          </w:p>
        </w:tc>
      </w:tr>
      <w:tr>
        <w:tc>
          <w:tcPr>
            <w:tcW w:type="dxa" w:w="2438"/>
            <w:vAlign w:val="center"/>
            <w:shd w:fill="F3F6FA"/>
          </w:tcPr>
          <w:p>
            <w:pPr>
              <w:spacing w:after="0"/>
            </w:pPr>
            <w:r/>
            <w:r>
              <w:rPr>
                <w:rFonts w:ascii="Arial" w:hAnsi="Arial"/>
                <w:b w:val="0"/>
                <w:sz w:val="16"/>
              </w:rPr>
              <w:t>Pieds</w:t>
            </w:r>
          </w:p>
        </w:tc>
        <w:tc>
          <w:tcPr>
            <w:tcW w:type="dxa" w:w="7257"/>
            <w:vAlign w:val="center"/>
            <w:shd w:fill="F3F6FA"/>
          </w:tcPr>
          <w:p>
            <w:pPr>
              <w:spacing w:after="0"/>
            </w:pPr>
            <w:r/>
            <w:r>
              <w:rPr>
                <w:rFonts w:ascii="Arial" w:hAnsi="Arial"/>
                <w:b w:val="0"/>
                <w:sz w:val="16"/>
              </w:rPr>
              <w:t>Programme jaune + Hammer Kick, Hook Kick, Back Kick.</w:t>
            </w:r>
          </w:p>
        </w:tc>
      </w:tr>
      <w:tr>
        <w:tc>
          <w:tcPr>
            <w:tcW w:type="dxa" w:w="2438"/>
            <w:vAlign w:val="center"/>
          </w:tcPr>
          <w:p>
            <w:pPr>
              <w:spacing w:after="0"/>
            </w:pPr>
            <w:r/>
            <w:r>
              <w:rPr>
                <w:rFonts w:ascii="Arial" w:hAnsi="Arial"/>
                <w:b w:val="0"/>
                <w:sz w:val="16"/>
              </w:rPr>
              <w:t>Coudes</w:t>
            </w:r>
          </w:p>
        </w:tc>
        <w:tc>
          <w:tcPr>
            <w:tcW w:type="dxa" w:w="7257"/>
            <w:vAlign w:val="center"/>
          </w:tcPr>
          <w:p>
            <w:pPr>
              <w:spacing w:after="0"/>
            </w:pPr>
            <w:r/>
            <w:r>
              <w:rPr>
                <w:rFonts w:ascii="Arial" w:hAnsi="Arial"/>
                <w:b w:val="0"/>
                <w:sz w:val="16"/>
              </w:rPr>
              <w:t>Six premières familles.</w:t>
            </w:r>
          </w:p>
        </w:tc>
      </w:tr>
      <w:tr>
        <w:tc>
          <w:tcPr>
            <w:tcW w:type="dxa" w:w="2438"/>
            <w:vAlign w:val="center"/>
            <w:shd w:fill="F3F6FA"/>
          </w:tcPr>
          <w:p>
            <w:pPr>
              <w:spacing w:after="0"/>
            </w:pPr>
            <w:r/>
            <w:r>
              <w:rPr>
                <w:rFonts w:ascii="Arial" w:hAnsi="Arial"/>
                <w:b w:val="0"/>
                <w:sz w:val="16"/>
              </w:rPr>
              <w:t>Genoux</w:t>
            </w:r>
          </w:p>
        </w:tc>
        <w:tc>
          <w:tcPr>
            <w:tcW w:type="dxa" w:w="7257"/>
            <w:vAlign w:val="center"/>
            <w:shd w:fill="F3F6FA"/>
          </w:tcPr>
          <w:p>
            <w:pPr>
              <w:spacing w:after="0"/>
            </w:pPr>
            <w:r/>
            <w:r>
              <w:rPr>
                <w:rFonts w:ascii="Arial" w:hAnsi="Arial"/>
                <w:b w:val="0"/>
                <w:sz w:val="16"/>
              </w:rPr>
              <w:t>Face, latéral, diagonal, circulaire.</w:t>
            </w:r>
          </w:p>
        </w:tc>
      </w:tr>
      <w:tr>
        <w:tc>
          <w:tcPr>
            <w:tcW w:type="dxa" w:w="2438"/>
            <w:vAlign w:val="center"/>
          </w:tcPr>
          <w:p>
            <w:pPr>
              <w:spacing w:after="0"/>
            </w:pPr>
            <w:r/>
            <w:r>
              <w:rPr>
                <w:rFonts w:ascii="Arial" w:hAnsi="Arial"/>
                <w:b w:val="0"/>
                <w:sz w:val="16"/>
              </w:rPr>
              <w:t>Blocages</w:t>
            </w:r>
          </w:p>
        </w:tc>
        <w:tc>
          <w:tcPr>
            <w:tcW w:type="dxa" w:w="7257"/>
            <w:vAlign w:val="center"/>
          </w:tcPr>
          <w:p>
            <w:pPr>
              <w:spacing w:after="0"/>
            </w:pPr>
            <w:r/>
            <w:r>
              <w:rPr>
                <w:rFonts w:ascii="Arial" w:hAnsi="Arial"/>
                <w:b w:val="0"/>
                <w:sz w:val="16"/>
              </w:rPr>
              <w:t>Complément des blocages fondamentaux ; blocages croisés.</w:t>
            </w:r>
          </w:p>
        </w:tc>
      </w:tr>
      <w:tr>
        <w:tc>
          <w:tcPr>
            <w:tcW w:type="dxa" w:w="2438"/>
            <w:vAlign w:val="center"/>
            <w:shd w:fill="F3F6FA"/>
          </w:tcPr>
          <w:p>
            <w:pPr>
              <w:spacing w:after="0"/>
            </w:pPr>
            <w:r/>
            <w:r>
              <w:rPr>
                <w:rFonts w:ascii="Arial" w:hAnsi="Arial"/>
                <w:b w:val="0"/>
                <w:sz w:val="16"/>
              </w:rPr>
              <w:t>Combinaisons</w:t>
            </w:r>
          </w:p>
        </w:tc>
        <w:tc>
          <w:tcPr>
            <w:tcW w:type="dxa" w:w="7257"/>
            <w:vAlign w:val="center"/>
            <w:shd w:fill="F3F6FA"/>
          </w:tcPr>
          <w:p>
            <w:pPr>
              <w:spacing w:after="0"/>
            </w:pPr>
            <w:r/>
            <w:r>
              <w:rPr>
                <w:rFonts w:ascii="Arial" w:hAnsi="Arial"/>
                <w:b w:val="0"/>
                <w:sz w:val="16"/>
              </w:rPr>
              <w:t>Enchaînements imposés de trois techniques.</w:t>
            </w:r>
          </w:p>
        </w:tc>
      </w:tr>
      <w:tr>
        <w:tc>
          <w:tcPr>
            <w:tcW w:type="dxa" w:w="2438"/>
            <w:vAlign w:val="center"/>
          </w:tcPr>
          <w:p>
            <w:pPr>
              <w:spacing w:after="0"/>
            </w:pPr>
            <w:r/>
            <w:r>
              <w:rPr>
                <w:rFonts w:ascii="Arial" w:hAnsi="Arial"/>
                <w:b w:val="0"/>
                <w:sz w:val="16"/>
              </w:rPr>
              <w:t>Naban</w:t>
            </w:r>
          </w:p>
        </w:tc>
        <w:tc>
          <w:tcPr>
            <w:tcW w:type="dxa" w:w="7257"/>
            <w:vAlign w:val="center"/>
          </w:tcPr>
          <w:p>
            <w:pPr>
              <w:spacing w:after="0"/>
            </w:pPr>
            <w:r/>
            <w:r>
              <w:rPr>
                <w:rFonts w:ascii="Arial" w:hAnsi="Arial"/>
                <w:b w:val="0"/>
                <w:sz w:val="16"/>
              </w:rPr>
              <w:t>3 déséquilibres/projections ; 3 immobilisations ; dégagements ; contrôle simple.</w:t>
            </w:r>
          </w:p>
        </w:tc>
      </w:tr>
      <w:tr>
        <w:tc>
          <w:tcPr>
            <w:tcW w:type="dxa" w:w="2438"/>
            <w:vAlign w:val="center"/>
            <w:shd w:fill="F3F6FA"/>
          </w:tcPr>
          <w:p>
            <w:pPr>
              <w:spacing w:after="0"/>
            </w:pPr>
            <w:r/>
            <w:r>
              <w:rPr>
                <w:rFonts w:ascii="Arial" w:hAnsi="Arial"/>
                <w:b w:val="0"/>
                <w:sz w:val="16"/>
              </w:rPr>
              <w:t>Lethwei</w:t>
            </w:r>
          </w:p>
        </w:tc>
        <w:tc>
          <w:tcPr>
            <w:tcW w:type="dxa" w:w="7257"/>
            <w:vAlign w:val="center"/>
            <w:shd w:fill="F3F6FA"/>
          </w:tcPr>
          <w:p>
            <w:pPr>
              <w:spacing w:after="0"/>
            </w:pPr>
            <w:r/>
            <w:r>
              <w:rPr>
                <w:rFonts w:ascii="Arial" w:hAnsi="Arial"/>
                <w:b w:val="0"/>
                <w:sz w:val="16"/>
              </w:rPr>
              <w:t>Poings, pieds, genoux, coudes ; assaut éducatif à intensité contrôlée.</w:t>
            </w:r>
          </w:p>
        </w:tc>
      </w:tr>
      <w:tr>
        <w:tc>
          <w:tcPr>
            <w:tcW w:type="dxa" w:w="2438"/>
            <w:vAlign w:val="center"/>
          </w:tcPr>
          <w:p>
            <w:pPr>
              <w:spacing w:after="0"/>
            </w:pPr>
            <w:r/>
            <w:r>
              <w:rPr>
                <w:rFonts w:ascii="Arial" w:hAnsi="Arial"/>
                <w:b w:val="0"/>
                <w:sz w:val="16"/>
              </w:rPr>
              <w:t>Banshay</w:t>
            </w:r>
          </w:p>
        </w:tc>
        <w:tc>
          <w:tcPr>
            <w:tcW w:type="dxa" w:w="7257"/>
            <w:vAlign w:val="center"/>
          </w:tcPr>
          <w:p>
            <w:pPr>
              <w:spacing w:after="0"/>
            </w:pPr>
            <w:r/>
            <w:r>
              <w:rPr>
                <w:rFonts w:ascii="Arial" w:hAnsi="Arial"/>
                <w:b w:val="0"/>
                <w:sz w:val="16"/>
              </w:rPr>
              <w:t>Préparation au petit bâton : tenue, garde, trajectoire et sécurité.</w:t>
            </w:r>
          </w:p>
        </w:tc>
      </w:tr>
      <w:tr>
        <w:tc>
          <w:tcPr>
            <w:tcW w:type="dxa" w:w="2438"/>
            <w:vAlign w:val="center"/>
            <w:shd w:fill="F3F6FA"/>
          </w:tcPr>
          <w:p>
            <w:pPr>
              <w:spacing w:after="0"/>
            </w:pPr>
            <w:r/>
            <w:r>
              <w:rPr>
                <w:rFonts w:ascii="Arial" w:hAnsi="Arial"/>
                <w:b w:val="0"/>
                <w:sz w:val="16"/>
              </w:rPr>
              <w:t>Min Zin</w:t>
            </w:r>
          </w:p>
        </w:tc>
        <w:tc>
          <w:tcPr>
            <w:tcW w:type="dxa" w:w="7257"/>
            <w:vAlign w:val="center"/>
            <w:shd w:fill="F3F6FA"/>
          </w:tcPr>
          <w:p>
            <w:pPr>
              <w:spacing w:after="0"/>
            </w:pPr>
            <w:r/>
            <w:r>
              <w:rPr>
                <w:rFonts w:ascii="Arial" w:hAnsi="Arial"/>
                <w:b w:val="0"/>
                <w:sz w:val="16"/>
              </w:rPr>
              <w:t>Disciplined Breathing ; coordination respiration/mouvement.</w:t>
            </w:r>
          </w:p>
        </w:tc>
      </w:tr>
      <w:tr>
        <w:tc>
          <w:tcPr>
            <w:tcW w:type="dxa" w:w="2438"/>
            <w:vAlign w:val="center"/>
          </w:tcPr>
          <w:p>
            <w:pPr>
              <w:spacing w:after="0"/>
            </w:pPr>
            <w:r/>
            <w:r>
              <w:rPr>
                <w:rFonts w:ascii="Arial" w:hAnsi="Arial"/>
                <w:b w:val="0"/>
                <w:sz w:val="16"/>
              </w:rPr>
              <w:t>Monk System</w:t>
            </w:r>
          </w:p>
        </w:tc>
        <w:tc>
          <w:tcPr>
            <w:tcW w:type="dxa" w:w="7257"/>
            <w:vAlign w:val="center"/>
          </w:tcPr>
          <w:p>
            <w:pPr>
              <w:spacing w:after="0"/>
            </w:pPr>
            <w:r/>
            <w:r>
              <w:rPr>
                <w:rFonts w:ascii="Arial" w:hAnsi="Arial"/>
                <w:b w:val="0"/>
                <w:sz w:val="16"/>
              </w:rPr>
              <w:t>Evasive : attaque → esquive → déplacement → repositionnement.</w:t>
            </w:r>
          </w:p>
        </w:tc>
      </w:tr>
      <w:tr>
        <w:tc>
          <w:tcPr>
            <w:tcW w:type="dxa" w:w="2438"/>
            <w:vAlign w:val="center"/>
            <w:shd w:fill="F3F6FA"/>
          </w:tcPr>
          <w:p>
            <w:pPr>
              <w:spacing w:after="0"/>
            </w:pPr>
            <w:r/>
            <w:r>
              <w:rPr>
                <w:rFonts w:ascii="Arial" w:hAnsi="Arial"/>
                <w:b w:val="0"/>
                <w:sz w:val="16"/>
              </w:rPr>
              <w:t>Forme</w:t>
            </w:r>
          </w:p>
        </w:tc>
        <w:tc>
          <w:tcPr>
            <w:tcW w:type="dxa" w:w="7257"/>
            <w:vAlign w:val="center"/>
            <w:shd w:fill="F3F6FA"/>
          </w:tcPr>
          <w:p>
            <w:pPr>
              <w:spacing w:after="0"/>
            </w:pPr>
            <w:r/>
            <w:r>
              <w:rPr>
                <w:rFonts w:ascii="Arial" w:hAnsi="Arial"/>
                <w:b w:val="0"/>
                <w:sz w:val="16"/>
              </w:rPr>
              <w:t>SQUARE.</w:t>
            </w:r>
          </w:p>
        </w:tc>
      </w:tr>
    </w:tbl>
    <w:p>
      <w:pPr>
        <w:spacing w:after="20"/>
      </w:pP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6803"/>
            <w:vAlign w:val="center"/>
            <w:shd w:fill="17365D"/>
          </w:tcPr>
          <w:p>
            <w:pPr>
              <w:spacing w:after="0"/>
            </w:pPr>
            <w:r/>
            <w:r>
              <w:rPr>
                <w:rFonts w:ascii="Arial" w:hAnsi="Arial"/>
                <w:b/>
                <w:color w:val="FFFFFF"/>
                <w:sz w:val="16"/>
              </w:rPr>
              <w:t>Épreuve</w:t>
            </w:r>
          </w:p>
        </w:tc>
        <w:tc>
          <w:tcPr>
            <w:tcW w:type="dxa" w:w="2268"/>
            <w:vAlign w:val="center"/>
            <w:shd w:fill="17365D"/>
          </w:tcPr>
          <w:p>
            <w:pPr>
              <w:spacing w:after="0"/>
            </w:pPr>
            <w:r/>
            <w:r>
              <w:rPr>
                <w:rFonts w:ascii="Arial" w:hAnsi="Arial"/>
                <w:b/>
                <w:color w:val="FFFFFF"/>
                <w:sz w:val="16"/>
              </w:rPr>
              <w:t>Points</w:t>
            </w:r>
          </w:p>
        </w:tc>
      </w:tr>
      <w:tr>
        <w:tc>
          <w:tcPr>
            <w:tcW w:type="dxa" w:w="6803"/>
            <w:vAlign w:val="center"/>
          </w:tcPr>
          <w:p>
            <w:pPr>
              <w:spacing w:after="0"/>
            </w:pPr>
            <w:r/>
            <w:r>
              <w:rPr>
                <w:rFonts w:ascii="Arial" w:hAnsi="Arial"/>
                <w:b w:val="0"/>
                <w:sz w:val="16"/>
              </w:rPr>
              <w:t>Bando</w:t>
            </w:r>
          </w:p>
        </w:tc>
        <w:tc>
          <w:tcPr>
            <w:tcW w:type="dxa" w:w="2268"/>
            <w:vAlign w:val="center"/>
          </w:tcPr>
          <w:p>
            <w:pPr>
              <w:spacing w:after="0"/>
            </w:pPr>
            <w:r/>
            <w:r>
              <w:rPr>
                <w:rFonts w:ascii="Arial" w:hAnsi="Arial"/>
                <w:b w:val="0"/>
                <w:sz w:val="16"/>
              </w:rPr>
              <w:t>30</w:t>
            </w:r>
          </w:p>
        </w:tc>
      </w:tr>
      <w:tr>
        <w:tc>
          <w:tcPr>
            <w:tcW w:type="dxa" w:w="6803"/>
            <w:vAlign w:val="center"/>
            <w:shd w:fill="F3F6FA"/>
          </w:tcPr>
          <w:p>
            <w:pPr>
              <w:spacing w:after="0"/>
            </w:pPr>
            <w:r/>
            <w:r>
              <w:rPr>
                <w:rFonts w:ascii="Arial" w:hAnsi="Arial"/>
                <w:b w:val="0"/>
                <w:sz w:val="16"/>
              </w:rPr>
              <w:t>Forme SQUARE</w:t>
            </w:r>
          </w:p>
        </w:tc>
        <w:tc>
          <w:tcPr>
            <w:tcW w:type="dxa" w:w="2268"/>
            <w:vAlign w:val="center"/>
            <w:shd w:fill="F3F6FA"/>
          </w:tcPr>
          <w:p>
            <w:pPr>
              <w:spacing w:after="0"/>
            </w:pPr>
            <w:r/>
            <w:r>
              <w:rPr>
                <w:rFonts w:ascii="Arial" w:hAnsi="Arial"/>
                <w:b w:val="0"/>
                <w:sz w:val="16"/>
              </w:rPr>
              <w:t>20</w:t>
            </w:r>
          </w:p>
        </w:tc>
      </w:tr>
      <w:tr>
        <w:tc>
          <w:tcPr>
            <w:tcW w:type="dxa" w:w="6803"/>
            <w:vAlign w:val="center"/>
          </w:tcPr>
          <w:p>
            <w:pPr>
              <w:spacing w:after="0"/>
            </w:pPr>
            <w:r/>
            <w:r>
              <w:rPr>
                <w:rFonts w:ascii="Arial" w:hAnsi="Arial"/>
                <w:b w:val="0"/>
                <w:sz w:val="16"/>
              </w:rPr>
              <w:t>Applications</w:t>
            </w:r>
          </w:p>
        </w:tc>
        <w:tc>
          <w:tcPr>
            <w:tcW w:type="dxa" w:w="2268"/>
            <w:vAlign w:val="center"/>
          </w:tcPr>
          <w:p>
            <w:pPr>
              <w:spacing w:after="0"/>
            </w:pPr>
            <w:r/>
            <w:r>
              <w:rPr>
                <w:rFonts w:ascii="Arial" w:hAnsi="Arial"/>
                <w:b w:val="0"/>
                <w:sz w:val="16"/>
              </w:rPr>
              <w:t>15</w:t>
            </w:r>
          </w:p>
        </w:tc>
      </w:tr>
      <w:tr>
        <w:tc>
          <w:tcPr>
            <w:tcW w:type="dxa" w:w="6803"/>
            <w:vAlign w:val="center"/>
            <w:shd w:fill="F3F6FA"/>
          </w:tcPr>
          <w:p>
            <w:pPr>
              <w:spacing w:after="0"/>
            </w:pPr>
            <w:r/>
            <w:r>
              <w:rPr>
                <w:rFonts w:ascii="Arial" w:hAnsi="Arial"/>
                <w:b w:val="0"/>
                <w:sz w:val="16"/>
              </w:rPr>
              <w:t>Naban</w:t>
            </w:r>
          </w:p>
        </w:tc>
        <w:tc>
          <w:tcPr>
            <w:tcW w:type="dxa" w:w="2268"/>
            <w:vAlign w:val="center"/>
            <w:shd w:fill="F3F6FA"/>
          </w:tcPr>
          <w:p>
            <w:pPr>
              <w:spacing w:after="0"/>
            </w:pPr>
            <w:r/>
            <w:r>
              <w:rPr>
                <w:rFonts w:ascii="Arial" w:hAnsi="Arial"/>
                <w:b w:val="0"/>
                <w:sz w:val="16"/>
              </w:rPr>
              <w:t>10</w:t>
            </w:r>
          </w:p>
        </w:tc>
      </w:tr>
      <w:tr>
        <w:tc>
          <w:tcPr>
            <w:tcW w:type="dxa" w:w="6803"/>
            <w:vAlign w:val="center"/>
          </w:tcPr>
          <w:p>
            <w:pPr>
              <w:spacing w:after="0"/>
            </w:pPr>
            <w:r/>
            <w:r>
              <w:rPr>
                <w:rFonts w:ascii="Arial" w:hAnsi="Arial"/>
                <w:b w:val="0"/>
                <w:sz w:val="16"/>
              </w:rPr>
              <w:t>Lethwei</w:t>
            </w:r>
          </w:p>
        </w:tc>
        <w:tc>
          <w:tcPr>
            <w:tcW w:type="dxa" w:w="2268"/>
            <w:vAlign w:val="center"/>
          </w:tcPr>
          <w:p>
            <w:pPr>
              <w:spacing w:after="0"/>
            </w:pPr>
            <w:r/>
            <w:r>
              <w:rPr>
                <w:rFonts w:ascii="Arial" w:hAnsi="Arial"/>
                <w:b w:val="0"/>
                <w:sz w:val="16"/>
              </w:rPr>
              <w:t>10</w:t>
            </w:r>
          </w:p>
        </w:tc>
      </w:tr>
      <w:tr>
        <w:tc>
          <w:tcPr>
            <w:tcW w:type="dxa" w:w="6803"/>
            <w:vAlign w:val="center"/>
            <w:shd w:fill="F3F6FA"/>
          </w:tcPr>
          <w:p>
            <w:pPr>
              <w:spacing w:after="0"/>
            </w:pPr>
            <w:r/>
            <w:r>
              <w:rPr>
                <w:rFonts w:ascii="Arial" w:hAnsi="Arial"/>
                <w:b w:val="0"/>
                <w:sz w:val="16"/>
              </w:rPr>
              <w:t>Préparation Banshay</w:t>
            </w:r>
          </w:p>
        </w:tc>
        <w:tc>
          <w:tcPr>
            <w:tcW w:type="dxa" w:w="2268"/>
            <w:vAlign w:val="center"/>
            <w:shd w:fill="F3F6FA"/>
          </w:tcPr>
          <w:p>
            <w:pPr>
              <w:spacing w:after="0"/>
            </w:pPr>
            <w:r/>
            <w:r>
              <w:rPr>
                <w:rFonts w:ascii="Arial" w:hAnsi="Arial"/>
                <w:b w:val="0"/>
                <w:sz w:val="16"/>
              </w:rPr>
              <w:t>5</w:t>
            </w:r>
          </w:p>
        </w:tc>
      </w:tr>
      <w:tr>
        <w:tc>
          <w:tcPr>
            <w:tcW w:type="dxa" w:w="6803"/>
            <w:vAlign w:val="center"/>
          </w:tcPr>
          <w:p>
            <w:pPr>
              <w:spacing w:after="0"/>
            </w:pPr>
            <w:r/>
            <w:r>
              <w:rPr>
                <w:rFonts w:ascii="Arial" w:hAnsi="Arial"/>
                <w:b w:val="0"/>
                <w:sz w:val="16"/>
              </w:rPr>
              <w:t>Min Zin / Monk</w:t>
            </w:r>
          </w:p>
        </w:tc>
        <w:tc>
          <w:tcPr>
            <w:tcW w:type="dxa" w:w="2268"/>
            <w:vAlign w:val="center"/>
          </w:tcPr>
          <w:p>
            <w:pPr>
              <w:spacing w:after="0"/>
            </w:pPr>
            <w:r/>
            <w:r>
              <w:rPr>
                <w:rFonts w:ascii="Arial" w:hAnsi="Arial"/>
                <w:b w:val="0"/>
                <w:sz w:val="16"/>
              </w:rPr>
              <w:t>5</w:t>
            </w:r>
          </w:p>
        </w:tc>
      </w:tr>
      <w:tr>
        <w:tc>
          <w:tcPr>
            <w:tcW w:type="dxa" w:w="6803"/>
            <w:vAlign w:val="center"/>
            <w:shd w:fill="F3F6FA"/>
          </w:tcPr>
          <w:p>
            <w:pPr>
              <w:spacing w:after="0"/>
            </w:pPr>
            <w:r/>
            <w:r>
              <w:rPr>
                <w:rFonts w:ascii="Arial" w:hAnsi="Arial"/>
                <w:b w:val="0"/>
                <w:sz w:val="16"/>
              </w:rPr>
              <w:t>Connaissances</w:t>
            </w:r>
          </w:p>
        </w:tc>
        <w:tc>
          <w:tcPr>
            <w:tcW w:type="dxa" w:w="2268"/>
            <w:vAlign w:val="center"/>
            <w:shd w:fill="F3F6FA"/>
          </w:tcPr>
          <w:p>
            <w:pPr>
              <w:spacing w:after="0"/>
            </w:pPr>
            <w:r/>
            <w:r>
              <w:rPr>
                <w:rFonts w:ascii="Arial" w:hAnsi="Arial"/>
                <w:b w:val="0"/>
                <w:sz w:val="16"/>
              </w:rPr>
              <w:t>5</w:t>
            </w:r>
          </w:p>
        </w:tc>
      </w:tr>
    </w:tbl>
    <w:p>
      <w:pPr>
        <w:spacing w:after="20"/>
      </w:pPr>
    </w:p>
    <w:p>
      <w:r>
        <w:rPr>
          <w:b/>
          <w:color w:val="C00000"/>
        </w:rPr>
        <w:t>Seuil de validation : 60/100.</w:t>
      </w:r>
    </w:p>
    <w:p>
      <w:r>
        <w:br w:type="page"/>
      </w:r>
    </w:p>
    <w:p>
      <w:pPr>
        <w:pStyle w:val="Heading2"/>
      </w:pPr>
      <w:r>
        <w:t>NIVEAU 3 — CEINTURE VERTE</w:t>
      </w:r>
    </w:p>
    <w:p>
      <w:pPr>
        <w:jc w:val="left"/>
      </w:pPr>
      <w:r>
        <w:rPr>
          <w:b/>
          <w:color w:val="666666"/>
        </w:rPr>
        <w:t>Application</w:t>
      </w: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2438"/>
            <w:vAlign w:val="center"/>
            <w:shd w:fill="17365D"/>
          </w:tcPr>
          <w:p>
            <w:pPr>
              <w:spacing w:after="0"/>
            </w:pPr>
            <w:r/>
            <w:r>
              <w:rPr>
                <w:rFonts w:ascii="Arial" w:hAnsi="Arial"/>
                <w:b/>
                <w:color w:val="FFFFFF"/>
                <w:sz w:val="16"/>
              </w:rPr>
              <w:t>Domaine</w:t>
            </w:r>
          </w:p>
        </w:tc>
        <w:tc>
          <w:tcPr>
            <w:tcW w:type="dxa" w:w="7257"/>
            <w:vAlign w:val="center"/>
            <w:shd w:fill="17365D"/>
          </w:tcPr>
          <w:p>
            <w:pPr>
              <w:spacing w:after="0"/>
            </w:pPr>
            <w:r/>
            <w:r>
              <w:rPr>
                <w:rFonts w:ascii="Arial" w:hAnsi="Arial"/>
                <w:b/>
                <w:color w:val="FFFFFF"/>
                <w:sz w:val="16"/>
              </w:rPr>
              <w:t>Techniques / exigences</w:t>
            </w:r>
          </w:p>
        </w:tc>
      </w:tr>
      <w:tr>
        <w:tc>
          <w:tcPr>
            <w:tcW w:type="dxa" w:w="2438"/>
            <w:vAlign w:val="center"/>
          </w:tcPr>
          <w:p>
            <w:pPr>
              <w:spacing w:after="0"/>
            </w:pPr>
            <w:r/>
            <w:r>
              <w:rPr>
                <w:rFonts w:ascii="Arial" w:hAnsi="Arial"/>
                <w:b w:val="0"/>
                <w:sz w:val="16"/>
              </w:rPr>
              <w:t>Bando</w:t>
            </w:r>
          </w:p>
        </w:tc>
        <w:tc>
          <w:tcPr>
            <w:tcW w:type="dxa" w:w="7257"/>
            <w:vAlign w:val="center"/>
          </w:tcPr>
          <w:p>
            <w:pPr>
              <w:spacing w:after="0"/>
            </w:pPr>
            <w:r/>
            <w:r>
              <w:rPr>
                <w:rFonts w:ascii="Arial" w:hAnsi="Arial"/>
                <w:b w:val="0"/>
                <w:sz w:val="16"/>
              </w:rPr>
              <w:t>Répertoire fondamental complet du niveau ; combinaisons libres ; attaque/défense/contre.</w:t>
            </w:r>
          </w:p>
        </w:tc>
      </w:tr>
      <w:tr>
        <w:tc>
          <w:tcPr>
            <w:tcW w:type="dxa" w:w="2438"/>
            <w:vAlign w:val="center"/>
            <w:shd w:fill="F3F6FA"/>
          </w:tcPr>
          <w:p>
            <w:pPr>
              <w:spacing w:after="0"/>
            </w:pPr>
            <w:r/>
            <w:r>
              <w:rPr>
                <w:rFonts w:ascii="Arial" w:hAnsi="Arial"/>
                <w:b w:val="0"/>
                <w:sz w:val="16"/>
              </w:rPr>
              <w:t>Forme</w:t>
            </w:r>
          </w:p>
        </w:tc>
        <w:tc>
          <w:tcPr>
            <w:tcW w:type="dxa" w:w="7257"/>
            <w:vAlign w:val="center"/>
            <w:shd w:fill="F3F6FA"/>
          </w:tcPr>
          <w:p>
            <w:pPr>
              <w:spacing w:after="0"/>
            </w:pPr>
            <w:r/>
            <w:r>
              <w:rPr>
                <w:rFonts w:ascii="Arial" w:hAnsi="Arial"/>
                <w:b w:val="0"/>
                <w:sz w:val="16"/>
              </w:rPr>
              <w:t>CROSS.</w:t>
            </w:r>
          </w:p>
        </w:tc>
      </w:tr>
      <w:tr>
        <w:tc>
          <w:tcPr>
            <w:tcW w:type="dxa" w:w="2438"/>
            <w:vAlign w:val="center"/>
          </w:tcPr>
          <w:p>
            <w:pPr>
              <w:spacing w:after="0"/>
            </w:pPr>
            <w:r/>
            <w:r>
              <w:rPr>
                <w:rFonts w:ascii="Arial" w:hAnsi="Arial"/>
                <w:b w:val="0"/>
                <w:sz w:val="16"/>
              </w:rPr>
              <w:t>Petit bâton</w:t>
            </w:r>
          </w:p>
        </w:tc>
        <w:tc>
          <w:tcPr>
            <w:tcW w:type="dxa" w:w="7257"/>
            <w:vAlign w:val="center"/>
          </w:tcPr>
          <w:p>
            <w:pPr>
              <w:spacing w:after="0"/>
            </w:pPr>
            <w:r/>
            <w:r>
              <w:rPr>
                <w:rFonts w:ascii="Arial" w:hAnsi="Arial"/>
                <w:b w:val="0"/>
                <w:sz w:val="16"/>
              </w:rPr>
              <w:t>Gardes et séquences 1 à 9.</w:t>
            </w:r>
          </w:p>
        </w:tc>
      </w:tr>
      <w:tr>
        <w:tc>
          <w:tcPr>
            <w:tcW w:type="dxa" w:w="2438"/>
            <w:vAlign w:val="center"/>
            <w:shd w:fill="F3F6FA"/>
          </w:tcPr>
          <w:p>
            <w:pPr>
              <w:spacing w:after="0"/>
            </w:pPr>
            <w:r/>
            <w:r>
              <w:rPr>
                <w:rFonts w:ascii="Arial" w:hAnsi="Arial"/>
                <w:b w:val="0"/>
                <w:sz w:val="16"/>
              </w:rPr>
              <w:t>Grand bâton</w:t>
            </w:r>
          </w:p>
        </w:tc>
        <w:tc>
          <w:tcPr>
            <w:tcW w:type="dxa" w:w="7257"/>
            <w:vAlign w:val="center"/>
            <w:shd w:fill="F3F6FA"/>
          </w:tcPr>
          <w:p>
            <w:pPr>
              <w:spacing w:after="0"/>
            </w:pPr>
            <w:r/>
            <w:r>
              <w:rPr>
                <w:rFonts w:ascii="Arial" w:hAnsi="Arial"/>
                <w:b w:val="0"/>
                <w:sz w:val="16"/>
              </w:rPr>
              <w:t>FOUR WINDS.</w:t>
            </w:r>
          </w:p>
        </w:tc>
      </w:tr>
      <w:tr>
        <w:tc>
          <w:tcPr>
            <w:tcW w:type="dxa" w:w="2438"/>
            <w:vAlign w:val="center"/>
          </w:tcPr>
          <w:p>
            <w:pPr>
              <w:spacing w:after="0"/>
            </w:pPr>
            <w:r/>
            <w:r>
              <w:rPr>
                <w:rFonts w:ascii="Arial" w:hAnsi="Arial"/>
                <w:b w:val="0"/>
                <w:sz w:val="16"/>
              </w:rPr>
              <w:t>Naban</w:t>
            </w:r>
          </w:p>
        </w:tc>
        <w:tc>
          <w:tcPr>
            <w:tcW w:type="dxa" w:w="7257"/>
            <w:vAlign w:val="center"/>
          </w:tcPr>
          <w:p>
            <w:pPr>
              <w:spacing w:after="0"/>
            </w:pPr>
            <w:r/>
            <w:r>
              <w:rPr>
                <w:rFonts w:ascii="Arial" w:hAnsi="Arial"/>
                <w:b w:val="0"/>
                <w:sz w:val="16"/>
              </w:rPr>
              <w:t>Saisie, déséquilibre, projection, contrôle, immobilisation, dégagement ; introduction à la clé de bras.</w:t>
            </w:r>
          </w:p>
        </w:tc>
      </w:tr>
      <w:tr>
        <w:tc>
          <w:tcPr>
            <w:tcW w:type="dxa" w:w="2438"/>
            <w:vAlign w:val="center"/>
            <w:shd w:fill="F3F6FA"/>
          </w:tcPr>
          <w:p>
            <w:pPr>
              <w:spacing w:after="0"/>
            </w:pPr>
            <w:r/>
            <w:r>
              <w:rPr>
                <w:rFonts w:ascii="Arial" w:hAnsi="Arial"/>
                <w:b w:val="0"/>
                <w:sz w:val="16"/>
              </w:rPr>
              <w:t>Lethwei</w:t>
            </w:r>
          </w:p>
        </w:tc>
        <w:tc>
          <w:tcPr>
            <w:tcW w:type="dxa" w:w="7257"/>
            <w:vAlign w:val="center"/>
            <w:shd w:fill="F3F6FA"/>
          </w:tcPr>
          <w:p>
            <w:pPr>
              <w:spacing w:after="0"/>
            </w:pPr>
            <w:r/>
            <w:r>
              <w:rPr>
                <w:rFonts w:ascii="Arial" w:hAnsi="Arial"/>
                <w:b w:val="0"/>
                <w:sz w:val="16"/>
              </w:rPr>
              <w:t>Premier assaut technique complet et contrôlé.</w:t>
            </w:r>
          </w:p>
        </w:tc>
      </w:tr>
      <w:tr>
        <w:tc>
          <w:tcPr>
            <w:tcW w:type="dxa" w:w="2438"/>
            <w:vAlign w:val="center"/>
          </w:tcPr>
          <w:p>
            <w:pPr>
              <w:spacing w:after="0"/>
            </w:pPr>
            <w:r/>
            <w:r>
              <w:rPr>
                <w:rFonts w:ascii="Arial" w:hAnsi="Arial"/>
                <w:b w:val="0"/>
                <w:sz w:val="16"/>
              </w:rPr>
              <w:t>Min Zin</w:t>
            </w:r>
          </w:p>
        </w:tc>
        <w:tc>
          <w:tcPr>
            <w:tcW w:type="dxa" w:w="7257"/>
            <w:vAlign w:val="center"/>
          </w:tcPr>
          <w:p>
            <w:pPr>
              <w:spacing w:after="0"/>
            </w:pPr>
            <w:r/>
            <w:r>
              <w:rPr>
                <w:rFonts w:ascii="Arial" w:hAnsi="Arial"/>
                <w:b w:val="0"/>
                <w:sz w:val="16"/>
              </w:rPr>
              <w:t>Respiration structurée et récupération.</w:t>
            </w:r>
          </w:p>
        </w:tc>
      </w:tr>
      <w:tr>
        <w:tc>
          <w:tcPr>
            <w:tcW w:type="dxa" w:w="2438"/>
            <w:vAlign w:val="center"/>
            <w:shd w:fill="F3F6FA"/>
          </w:tcPr>
          <w:p>
            <w:pPr>
              <w:spacing w:after="0"/>
            </w:pPr>
            <w:r/>
            <w:r>
              <w:rPr>
                <w:rFonts w:ascii="Arial" w:hAnsi="Arial"/>
                <w:b w:val="0"/>
                <w:sz w:val="16"/>
              </w:rPr>
              <w:t>Monk System</w:t>
            </w:r>
          </w:p>
        </w:tc>
        <w:tc>
          <w:tcPr>
            <w:tcW w:type="dxa" w:w="7257"/>
            <w:vAlign w:val="center"/>
            <w:shd w:fill="F3F6FA"/>
          </w:tcPr>
          <w:p>
            <w:pPr>
              <w:spacing w:after="0"/>
            </w:pPr>
            <w:r/>
            <w:r>
              <w:rPr>
                <w:rFonts w:ascii="Arial" w:hAnsi="Arial"/>
                <w:b w:val="0"/>
                <w:sz w:val="16"/>
              </w:rPr>
              <w:t>Introduction à Restraining : éviter → entrer → déséquilibrer → contrôler.</w:t>
            </w:r>
          </w:p>
        </w:tc>
      </w:tr>
      <w:tr>
        <w:tc>
          <w:tcPr>
            <w:tcW w:type="dxa" w:w="2438"/>
            <w:vAlign w:val="center"/>
          </w:tcPr>
          <w:p>
            <w:pPr>
              <w:spacing w:after="0"/>
            </w:pPr>
            <w:r/>
            <w:r>
              <w:rPr>
                <w:rFonts w:ascii="Arial" w:hAnsi="Arial"/>
                <w:b w:val="0"/>
                <w:sz w:val="16"/>
              </w:rPr>
              <w:t>Théorie</w:t>
            </w:r>
          </w:p>
        </w:tc>
        <w:tc>
          <w:tcPr>
            <w:tcW w:type="dxa" w:w="7257"/>
            <w:vAlign w:val="center"/>
          </w:tcPr>
          <w:p>
            <w:pPr>
              <w:spacing w:after="0"/>
            </w:pPr>
            <w:r/>
            <w:r>
              <w:rPr>
                <w:rFonts w:ascii="Arial" w:hAnsi="Arial"/>
                <w:b w:val="0"/>
                <w:sz w:val="16"/>
              </w:rPr>
              <w:t>Différences fonctionnelles entre Bando, Banshay, Naban et Lethwei.</w:t>
            </w:r>
          </w:p>
        </w:tc>
      </w:tr>
    </w:tbl>
    <w:p>
      <w:pPr>
        <w:spacing w:after="20"/>
      </w:pP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6803"/>
            <w:vAlign w:val="center"/>
            <w:shd w:fill="17365D"/>
          </w:tcPr>
          <w:p>
            <w:pPr>
              <w:spacing w:after="0"/>
            </w:pPr>
            <w:r/>
            <w:r>
              <w:rPr>
                <w:rFonts w:ascii="Arial" w:hAnsi="Arial"/>
                <w:b/>
                <w:color w:val="FFFFFF"/>
                <w:sz w:val="16"/>
              </w:rPr>
              <w:t>Épreuve</w:t>
            </w:r>
          </w:p>
        </w:tc>
        <w:tc>
          <w:tcPr>
            <w:tcW w:type="dxa" w:w="2268"/>
            <w:vAlign w:val="center"/>
            <w:shd w:fill="17365D"/>
          </w:tcPr>
          <w:p>
            <w:pPr>
              <w:spacing w:after="0"/>
            </w:pPr>
            <w:r/>
            <w:r>
              <w:rPr>
                <w:rFonts w:ascii="Arial" w:hAnsi="Arial"/>
                <w:b/>
                <w:color w:val="FFFFFF"/>
                <w:sz w:val="16"/>
              </w:rPr>
              <w:t>Points</w:t>
            </w:r>
          </w:p>
        </w:tc>
      </w:tr>
      <w:tr>
        <w:tc>
          <w:tcPr>
            <w:tcW w:type="dxa" w:w="6803"/>
            <w:vAlign w:val="center"/>
          </w:tcPr>
          <w:p>
            <w:pPr>
              <w:spacing w:after="0"/>
            </w:pPr>
            <w:r/>
            <w:r>
              <w:rPr>
                <w:rFonts w:ascii="Arial" w:hAnsi="Arial"/>
                <w:b w:val="0"/>
                <w:sz w:val="16"/>
              </w:rPr>
              <w:t>Bando</w:t>
            </w:r>
          </w:p>
        </w:tc>
        <w:tc>
          <w:tcPr>
            <w:tcW w:type="dxa" w:w="2268"/>
            <w:vAlign w:val="center"/>
          </w:tcPr>
          <w:p>
            <w:pPr>
              <w:spacing w:after="0"/>
            </w:pPr>
            <w:r/>
            <w:r>
              <w:rPr>
                <w:rFonts w:ascii="Arial" w:hAnsi="Arial"/>
                <w:b w:val="0"/>
                <w:sz w:val="16"/>
              </w:rPr>
              <w:t>25</w:t>
            </w:r>
          </w:p>
        </w:tc>
      </w:tr>
      <w:tr>
        <w:tc>
          <w:tcPr>
            <w:tcW w:type="dxa" w:w="6803"/>
            <w:vAlign w:val="center"/>
            <w:shd w:fill="F3F6FA"/>
          </w:tcPr>
          <w:p>
            <w:pPr>
              <w:spacing w:after="0"/>
            </w:pPr>
            <w:r/>
            <w:r>
              <w:rPr>
                <w:rFonts w:ascii="Arial" w:hAnsi="Arial"/>
                <w:b w:val="0"/>
                <w:sz w:val="16"/>
              </w:rPr>
              <w:t>Forme CROSS</w:t>
            </w:r>
          </w:p>
        </w:tc>
        <w:tc>
          <w:tcPr>
            <w:tcW w:type="dxa" w:w="2268"/>
            <w:vAlign w:val="center"/>
            <w:shd w:fill="F3F6FA"/>
          </w:tcPr>
          <w:p>
            <w:pPr>
              <w:spacing w:after="0"/>
            </w:pPr>
            <w:r/>
            <w:r>
              <w:rPr>
                <w:rFonts w:ascii="Arial" w:hAnsi="Arial"/>
                <w:b w:val="0"/>
                <w:sz w:val="16"/>
              </w:rPr>
              <w:t>15</w:t>
            </w:r>
          </w:p>
        </w:tc>
      </w:tr>
      <w:tr>
        <w:tc>
          <w:tcPr>
            <w:tcW w:type="dxa" w:w="6803"/>
            <w:vAlign w:val="center"/>
          </w:tcPr>
          <w:p>
            <w:pPr>
              <w:spacing w:after="0"/>
            </w:pPr>
            <w:r/>
            <w:r>
              <w:rPr>
                <w:rFonts w:ascii="Arial" w:hAnsi="Arial"/>
                <w:b w:val="0"/>
                <w:sz w:val="16"/>
              </w:rPr>
              <w:t>Banshay / bâtons</w:t>
            </w:r>
          </w:p>
        </w:tc>
        <w:tc>
          <w:tcPr>
            <w:tcW w:type="dxa" w:w="2268"/>
            <w:vAlign w:val="center"/>
          </w:tcPr>
          <w:p>
            <w:pPr>
              <w:spacing w:after="0"/>
            </w:pPr>
            <w:r/>
            <w:r>
              <w:rPr>
                <w:rFonts w:ascii="Arial" w:hAnsi="Arial"/>
                <w:b w:val="0"/>
                <w:sz w:val="16"/>
              </w:rPr>
              <w:t>15</w:t>
            </w:r>
          </w:p>
        </w:tc>
      </w:tr>
      <w:tr>
        <w:tc>
          <w:tcPr>
            <w:tcW w:type="dxa" w:w="6803"/>
            <w:vAlign w:val="center"/>
            <w:shd w:fill="F3F6FA"/>
          </w:tcPr>
          <w:p>
            <w:pPr>
              <w:spacing w:after="0"/>
            </w:pPr>
            <w:r/>
            <w:r>
              <w:rPr>
                <w:rFonts w:ascii="Arial" w:hAnsi="Arial"/>
                <w:b w:val="0"/>
                <w:sz w:val="16"/>
              </w:rPr>
              <w:t>Naban</w:t>
            </w:r>
          </w:p>
        </w:tc>
        <w:tc>
          <w:tcPr>
            <w:tcW w:type="dxa" w:w="2268"/>
            <w:vAlign w:val="center"/>
            <w:shd w:fill="F3F6FA"/>
          </w:tcPr>
          <w:p>
            <w:pPr>
              <w:spacing w:after="0"/>
            </w:pPr>
            <w:r/>
            <w:r>
              <w:rPr>
                <w:rFonts w:ascii="Arial" w:hAnsi="Arial"/>
                <w:b w:val="0"/>
                <w:sz w:val="16"/>
              </w:rPr>
              <w:t>15</w:t>
            </w:r>
          </w:p>
        </w:tc>
      </w:tr>
      <w:tr>
        <w:tc>
          <w:tcPr>
            <w:tcW w:type="dxa" w:w="6803"/>
            <w:vAlign w:val="center"/>
          </w:tcPr>
          <w:p>
            <w:pPr>
              <w:spacing w:after="0"/>
            </w:pPr>
            <w:r/>
            <w:r>
              <w:rPr>
                <w:rFonts w:ascii="Arial" w:hAnsi="Arial"/>
                <w:b w:val="0"/>
                <w:sz w:val="16"/>
              </w:rPr>
              <w:t>Lethwei</w:t>
            </w:r>
          </w:p>
        </w:tc>
        <w:tc>
          <w:tcPr>
            <w:tcW w:type="dxa" w:w="2268"/>
            <w:vAlign w:val="center"/>
          </w:tcPr>
          <w:p>
            <w:pPr>
              <w:spacing w:after="0"/>
            </w:pPr>
            <w:r/>
            <w:r>
              <w:rPr>
                <w:rFonts w:ascii="Arial" w:hAnsi="Arial"/>
                <w:b w:val="0"/>
                <w:sz w:val="16"/>
              </w:rPr>
              <w:t>15</w:t>
            </w:r>
          </w:p>
        </w:tc>
      </w:tr>
      <w:tr>
        <w:tc>
          <w:tcPr>
            <w:tcW w:type="dxa" w:w="6803"/>
            <w:vAlign w:val="center"/>
            <w:shd w:fill="F3F6FA"/>
          </w:tcPr>
          <w:p>
            <w:pPr>
              <w:spacing w:after="0"/>
            </w:pPr>
            <w:r/>
            <w:r>
              <w:rPr>
                <w:rFonts w:ascii="Arial" w:hAnsi="Arial"/>
                <w:b w:val="0"/>
                <w:sz w:val="16"/>
              </w:rPr>
              <w:t>Applications</w:t>
            </w:r>
          </w:p>
        </w:tc>
        <w:tc>
          <w:tcPr>
            <w:tcW w:type="dxa" w:w="2268"/>
            <w:vAlign w:val="center"/>
            <w:shd w:fill="F3F6FA"/>
          </w:tcPr>
          <w:p>
            <w:pPr>
              <w:spacing w:after="0"/>
            </w:pPr>
            <w:r/>
            <w:r>
              <w:rPr>
                <w:rFonts w:ascii="Arial" w:hAnsi="Arial"/>
                <w:b w:val="0"/>
                <w:sz w:val="16"/>
              </w:rPr>
              <w:t>10</w:t>
            </w:r>
          </w:p>
        </w:tc>
      </w:tr>
      <w:tr>
        <w:tc>
          <w:tcPr>
            <w:tcW w:type="dxa" w:w="6803"/>
            <w:vAlign w:val="center"/>
          </w:tcPr>
          <w:p>
            <w:pPr>
              <w:spacing w:after="0"/>
            </w:pPr>
            <w:r/>
            <w:r>
              <w:rPr>
                <w:rFonts w:ascii="Arial" w:hAnsi="Arial"/>
                <w:b w:val="0"/>
                <w:sz w:val="16"/>
              </w:rPr>
              <w:t>Min Zin / Monk / connaissances</w:t>
            </w:r>
          </w:p>
        </w:tc>
        <w:tc>
          <w:tcPr>
            <w:tcW w:type="dxa" w:w="2268"/>
            <w:vAlign w:val="center"/>
          </w:tcPr>
          <w:p>
            <w:pPr>
              <w:spacing w:after="0"/>
            </w:pPr>
            <w:r/>
            <w:r>
              <w:rPr>
                <w:rFonts w:ascii="Arial" w:hAnsi="Arial"/>
                <w:b w:val="0"/>
                <w:sz w:val="16"/>
              </w:rPr>
              <w:t>5</w:t>
            </w:r>
          </w:p>
        </w:tc>
      </w:tr>
    </w:tbl>
    <w:p>
      <w:pPr>
        <w:spacing w:after="20"/>
      </w:pPr>
    </w:p>
    <w:p>
      <w:r>
        <w:rPr>
          <w:b/>
          <w:color w:val="C00000"/>
        </w:rPr>
        <w:t>Seuil de validation : 60/100.</w:t>
      </w:r>
    </w:p>
    <w:p>
      <w:pPr>
        <w:pStyle w:val="Heading2"/>
      </w:pPr>
      <w:r>
        <w:t>NIVEAU 4 — CEINTURE BLEUE</w:t>
      </w:r>
    </w:p>
    <w:p>
      <w:pPr>
        <w:jc w:val="left"/>
      </w:pPr>
      <w:r>
        <w:rPr>
          <w:b/>
          <w:color w:val="666666"/>
        </w:rPr>
        <w:t>Perfectionnement</w:t>
      </w: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2438"/>
            <w:vAlign w:val="center"/>
            <w:shd w:fill="17365D"/>
          </w:tcPr>
          <w:p>
            <w:pPr>
              <w:spacing w:after="0"/>
            </w:pPr>
            <w:r/>
            <w:r>
              <w:rPr>
                <w:rFonts w:ascii="Arial" w:hAnsi="Arial"/>
                <w:b/>
                <w:color w:val="FFFFFF"/>
                <w:sz w:val="16"/>
              </w:rPr>
              <w:t>Domaine</w:t>
            </w:r>
          </w:p>
        </w:tc>
        <w:tc>
          <w:tcPr>
            <w:tcW w:type="dxa" w:w="7257"/>
            <w:vAlign w:val="center"/>
            <w:shd w:fill="17365D"/>
          </w:tcPr>
          <w:p>
            <w:pPr>
              <w:spacing w:after="0"/>
            </w:pPr>
            <w:r/>
            <w:r>
              <w:rPr>
                <w:rFonts w:ascii="Arial" w:hAnsi="Arial"/>
                <w:b/>
                <w:color w:val="FFFFFF"/>
                <w:sz w:val="16"/>
              </w:rPr>
              <w:t>Techniques / exigences</w:t>
            </w:r>
          </w:p>
        </w:tc>
      </w:tr>
      <w:tr>
        <w:tc>
          <w:tcPr>
            <w:tcW w:type="dxa" w:w="2438"/>
            <w:vAlign w:val="center"/>
          </w:tcPr>
          <w:p>
            <w:pPr>
              <w:spacing w:after="0"/>
            </w:pPr>
            <w:r/>
            <w:r>
              <w:rPr>
                <w:rFonts w:ascii="Arial" w:hAnsi="Arial"/>
                <w:b w:val="0"/>
                <w:sz w:val="16"/>
              </w:rPr>
              <w:t>Bando</w:t>
            </w:r>
          </w:p>
        </w:tc>
        <w:tc>
          <w:tcPr>
            <w:tcW w:type="dxa" w:w="7257"/>
            <w:vAlign w:val="center"/>
          </w:tcPr>
          <w:p>
            <w:pPr>
              <w:spacing w:after="0"/>
            </w:pPr>
            <w:r/>
            <w:r>
              <w:rPr>
                <w:rFonts w:ascii="Arial" w:hAnsi="Arial"/>
                <w:b w:val="0"/>
                <w:sz w:val="16"/>
              </w:rPr>
              <w:t>Programme cumulatif ; changements d’axes et de niveaux ; combinaisons complexes ; contre-attaques.</w:t>
            </w:r>
          </w:p>
        </w:tc>
      </w:tr>
      <w:tr>
        <w:tc>
          <w:tcPr>
            <w:tcW w:type="dxa" w:w="2438"/>
            <w:vAlign w:val="center"/>
            <w:shd w:fill="F3F6FA"/>
          </w:tcPr>
          <w:p>
            <w:pPr>
              <w:spacing w:after="0"/>
            </w:pPr>
            <w:r/>
            <w:r>
              <w:rPr>
                <w:rFonts w:ascii="Arial" w:hAnsi="Arial"/>
                <w:b w:val="0"/>
                <w:sz w:val="16"/>
              </w:rPr>
              <w:t>Formes</w:t>
            </w:r>
          </w:p>
        </w:tc>
        <w:tc>
          <w:tcPr>
            <w:tcW w:type="dxa" w:w="7257"/>
            <w:vAlign w:val="center"/>
            <w:shd w:fill="F3F6FA"/>
          </w:tcPr>
          <w:p>
            <w:pPr>
              <w:spacing w:after="0"/>
            </w:pPr>
            <w:r/>
            <w:r>
              <w:rPr>
                <w:rFonts w:ascii="Arial" w:hAnsi="Arial"/>
                <w:b w:val="0"/>
                <w:sz w:val="16"/>
              </w:rPr>
              <w:t>POINT, SQUARE, CROSS — une forme imposée par le jury.</w:t>
            </w:r>
          </w:p>
        </w:tc>
      </w:tr>
      <w:tr>
        <w:tc>
          <w:tcPr>
            <w:tcW w:type="dxa" w:w="2438"/>
            <w:vAlign w:val="center"/>
          </w:tcPr>
          <w:p>
            <w:pPr>
              <w:spacing w:after="0"/>
            </w:pPr>
            <w:r/>
            <w:r>
              <w:rPr>
                <w:rFonts w:ascii="Arial" w:hAnsi="Arial"/>
                <w:b w:val="0"/>
                <w:sz w:val="16"/>
              </w:rPr>
              <w:t>Petit bâton</w:t>
            </w:r>
          </w:p>
        </w:tc>
        <w:tc>
          <w:tcPr>
            <w:tcW w:type="dxa" w:w="7257"/>
            <w:vAlign w:val="center"/>
          </w:tcPr>
          <w:p>
            <w:pPr>
              <w:spacing w:after="0"/>
            </w:pPr>
            <w:r/>
            <w:r>
              <w:rPr>
                <w:rFonts w:ascii="Arial" w:hAnsi="Arial"/>
                <w:b w:val="0"/>
                <w:sz w:val="16"/>
              </w:rPr>
              <w:t>1er kata petit bâton.</w:t>
            </w:r>
          </w:p>
        </w:tc>
      </w:tr>
      <w:tr>
        <w:tc>
          <w:tcPr>
            <w:tcW w:type="dxa" w:w="2438"/>
            <w:vAlign w:val="center"/>
            <w:shd w:fill="F3F6FA"/>
          </w:tcPr>
          <w:p>
            <w:pPr>
              <w:spacing w:after="0"/>
            </w:pPr>
            <w:r/>
            <w:r>
              <w:rPr>
                <w:rFonts w:ascii="Arial" w:hAnsi="Arial"/>
                <w:b w:val="0"/>
                <w:sz w:val="16"/>
              </w:rPr>
              <w:t>Grand bâton</w:t>
            </w:r>
          </w:p>
        </w:tc>
        <w:tc>
          <w:tcPr>
            <w:tcW w:type="dxa" w:w="7257"/>
            <w:vAlign w:val="center"/>
            <w:shd w:fill="F3F6FA"/>
          </w:tcPr>
          <w:p>
            <w:pPr>
              <w:spacing w:after="0"/>
            </w:pPr>
            <w:r/>
            <w:r>
              <w:rPr>
                <w:rFonts w:ascii="Arial" w:hAnsi="Arial"/>
                <w:b w:val="0"/>
                <w:sz w:val="16"/>
              </w:rPr>
              <w:t>FOUR WINDS + applications.</w:t>
            </w:r>
          </w:p>
        </w:tc>
      </w:tr>
      <w:tr>
        <w:tc>
          <w:tcPr>
            <w:tcW w:type="dxa" w:w="2438"/>
            <w:vAlign w:val="center"/>
          </w:tcPr>
          <w:p>
            <w:pPr>
              <w:spacing w:after="0"/>
            </w:pPr>
            <w:r/>
            <w:r>
              <w:rPr>
                <w:rFonts w:ascii="Arial" w:hAnsi="Arial"/>
                <w:b w:val="0"/>
                <w:sz w:val="16"/>
              </w:rPr>
              <w:t>Kukri</w:t>
            </w:r>
          </w:p>
        </w:tc>
        <w:tc>
          <w:tcPr>
            <w:tcW w:type="dxa" w:w="7257"/>
            <w:vAlign w:val="center"/>
          </w:tcPr>
          <w:p>
            <w:pPr>
              <w:spacing w:after="0"/>
            </w:pPr>
            <w:r/>
            <w:r>
              <w:rPr>
                <w:rFonts w:ascii="Arial" w:hAnsi="Arial"/>
                <w:b w:val="0"/>
                <w:sz w:val="16"/>
              </w:rPr>
              <w:t>Initiation technique : salut, tenue, garde et sécurité ; matériel d’entraînement.</w:t>
            </w:r>
          </w:p>
        </w:tc>
      </w:tr>
      <w:tr>
        <w:tc>
          <w:tcPr>
            <w:tcW w:type="dxa" w:w="2438"/>
            <w:vAlign w:val="center"/>
            <w:shd w:fill="F3F6FA"/>
          </w:tcPr>
          <w:p>
            <w:pPr>
              <w:spacing w:after="0"/>
            </w:pPr>
            <w:r/>
            <w:r>
              <w:rPr>
                <w:rFonts w:ascii="Arial" w:hAnsi="Arial"/>
                <w:b w:val="0"/>
                <w:sz w:val="16"/>
              </w:rPr>
              <w:t>Naban</w:t>
            </w:r>
          </w:p>
        </w:tc>
        <w:tc>
          <w:tcPr>
            <w:tcW w:type="dxa" w:w="7257"/>
            <w:vAlign w:val="center"/>
            <w:shd w:fill="F3F6FA"/>
          </w:tcPr>
          <w:p>
            <w:pPr>
              <w:spacing w:after="0"/>
            </w:pPr>
            <w:r/>
            <w:r>
              <w:rPr>
                <w:rFonts w:ascii="Arial" w:hAnsi="Arial"/>
                <w:b w:val="0"/>
                <w:sz w:val="16"/>
              </w:rPr>
              <w:t>Projections ; retournements ; immobilisations ; 3 clés contrôlées.</w:t>
            </w:r>
          </w:p>
        </w:tc>
      </w:tr>
      <w:tr>
        <w:tc>
          <w:tcPr>
            <w:tcW w:type="dxa" w:w="2438"/>
            <w:vAlign w:val="center"/>
          </w:tcPr>
          <w:p>
            <w:pPr>
              <w:spacing w:after="0"/>
            </w:pPr>
            <w:r/>
            <w:r>
              <w:rPr>
                <w:rFonts w:ascii="Arial" w:hAnsi="Arial"/>
                <w:b w:val="0"/>
                <w:sz w:val="16"/>
              </w:rPr>
              <w:t>Lethwei</w:t>
            </w:r>
          </w:p>
        </w:tc>
        <w:tc>
          <w:tcPr>
            <w:tcW w:type="dxa" w:w="7257"/>
            <w:vAlign w:val="center"/>
          </w:tcPr>
          <w:p>
            <w:pPr>
              <w:spacing w:after="0"/>
            </w:pPr>
            <w:r/>
            <w:r>
              <w:rPr>
                <w:rFonts w:ascii="Arial" w:hAnsi="Arial"/>
                <w:b w:val="0"/>
                <w:sz w:val="16"/>
              </w:rPr>
              <w:t>Assaut intermédiaire ; clinch et sorties ; coudes/genoux contrôlés.</w:t>
            </w:r>
          </w:p>
        </w:tc>
      </w:tr>
      <w:tr>
        <w:tc>
          <w:tcPr>
            <w:tcW w:type="dxa" w:w="2438"/>
            <w:vAlign w:val="center"/>
            <w:shd w:fill="F3F6FA"/>
          </w:tcPr>
          <w:p>
            <w:pPr>
              <w:spacing w:after="0"/>
            </w:pPr>
            <w:r/>
            <w:r>
              <w:rPr>
                <w:rFonts w:ascii="Arial" w:hAnsi="Arial"/>
                <w:b w:val="0"/>
                <w:sz w:val="16"/>
              </w:rPr>
              <w:t>Min Zin</w:t>
            </w:r>
          </w:p>
        </w:tc>
        <w:tc>
          <w:tcPr>
            <w:tcW w:type="dxa" w:w="7257"/>
            <w:vAlign w:val="center"/>
            <w:shd w:fill="F3F6FA"/>
          </w:tcPr>
          <w:p>
            <w:pPr>
              <w:spacing w:after="0"/>
            </w:pPr>
            <w:r/>
            <w:r>
              <w:rPr>
                <w:rFonts w:ascii="Arial" w:hAnsi="Arial"/>
                <w:b w:val="0"/>
                <w:sz w:val="16"/>
              </w:rPr>
              <w:t>Respiration appliquée à l’effort, récupération et concentration.</w:t>
            </w:r>
          </w:p>
        </w:tc>
      </w:tr>
      <w:tr>
        <w:tc>
          <w:tcPr>
            <w:tcW w:type="dxa" w:w="2438"/>
            <w:vAlign w:val="center"/>
          </w:tcPr>
          <w:p>
            <w:pPr>
              <w:spacing w:after="0"/>
            </w:pPr>
            <w:r/>
            <w:r>
              <w:rPr>
                <w:rFonts w:ascii="Arial" w:hAnsi="Arial"/>
                <w:b w:val="0"/>
                <w:sz w:val="16"/>
              </w:rPr>
              <w:t>Monk System</w:t>
            </w:r>
          </w:p>
        </w:tc>
        <w:tc>
          <w:tcPr>
            <w:tcW w:type="dxa" w:w="7257"/>
            <w:vAlign w:val="center"/>
          </w:tcPr>
          <w:p>
            <w:pPr>
              <w:spacing w:after="0"/>
            </w:pPr>
            <w:r/>
            <w:r>
              <w:rPr>
                <w:rFonts w:ascii="Arial" w:hAnsi="Arial"/>
                <w:b w:val="0"/>
                <w:sz w:val="16"/>
              </w:rPr>
              <w:t>Restraining : esquive → entrée → déséquilibre → contrôle.</w:t>
            </w:r>
          </w:p>
        </w:tc>
      </w:tr>
      <w:tr>
        <w:tc>
          <w:tcPr>
            <w:tcW w:type="dxa" w:w="2438"/>
            <w:vAlign w:val="center"/>
            <w:shd w:fill="F3F6FA"/>
          </w:tcPr>
          <w:p>
            <w:pPr>
              <w:spacing w:after="0"/>
            </w:pPr>
            <w:r/>
            <w:r>
              <w:rPr>
                <w:rFonts w:ascii="Arial" w:hAnsi="Arial"/>
                <w:b w:val="0"/>
                <w:sz w:val="16"/>
              </w:rPr>
              <w:t>Culture</w:t>
            </w:r>
          </w:p>
        </w:tc>
        <w:tc>
          <w:tcPr>
            <w:tcW w:type="dxa" w:w="7257"/>
            <w:vAlign w:val="center"/>
            <w:shd w:fill="F3F6FA"/>
          </w:tcPr>
          <w:p>
            <w:pPr>
              <w:spacing w:after="0"/>
            </w:pPr>
            <w:r/>
            <w:r>
              <w:rPr>
                <w:rFonts w:ascii="Arial" w:hAnsi="Arial"/>
                <w:b w:val="0"/>
                <w:sz w:val="16"/>
              </w:rPr>
              <w:t>Origines du Thaing et identification des principales familles techniques.</w:t>
            </w:r>
          </w:p>
        </w:tc>
      </w:tr>
    </w:tbl>
    <w:p>
      <w:pPr>
        <w:spacing w:after="20"/>
      </w:pP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6803"/>
            <w:vAlign w:val="center"/>
            <w:shd w:fill="17365D"/>
          </w:tcPr>
          <w:p>
            <w:pPr>
              <w:spacing w:after="0"/>
            </w:pPr>
            <w:r/>
            <w:r>
              <w:rPr>
                <w:rFonts w:ascii="Arial" w:hAnsi="Arial"/>
                <w:b/>
                <w:color w:val="FFFFFF"/>
                <w:sz w:val="16"/>
              </w:rPr>
              <w:t>Épreuve</w:t>
            </w:r>
          </w:p>
        </w:tc>
        <w:tc>
          <w:tcPr>
            <w:tcW w:type="dxa" w:w="2268"/>
            <w:vAlign w:val="center"/>
            <w:shd w:fill="17365D"/>
          </w:tcPr>
          <w:p>
            <w:pPr>
              <w:spacing w:after="0"/>
            </w:pPr>
            <w:r/>
            <w:r>
              <w:rPr>
                <w:rFonts w:ascii="Arial" w:hAnsi="Arial"/>
                <w:b/>
                <w:color w:val="FFFFFF"/>
                <w:sz w:val="16"/>
              </w:rPr>
              <w:t>Points</w:t>
            </w:r>
          </w:p>
        </w:tc>
      </w:tr>
      <w:tr>
        <w:tc>
          <w:tcPr>
            <w:tcW w:type="dxa" w:w="6803"/>
            <w:vAlign w:val="center"/>
          </w:tcPr>
          <w:p>
            <w:pPr>
              <w:spacing w:after="0"/>
            </w:pPr>
            <w:r/>
            <w:r>
              <w:rPr>
                <w:rFonts w:ascii="Arial" w:hAnsi="Arial"/>
                <w:b w:val="0"/>
                <w:sz w:val="16"/>
              </w:rPr>
              <w:t>Bando</w:t>
            </w:r>
          </w:p>
        </w:tc>
        <w:tc>
          <w:tcPr>
            <w:tcW w:type="dxa" w:w="2268"/>
            <w:vAlign w:val="center"/>
          </w:tcPr>
          <w:p>
            <w:pPr>
              <w:spacing w:after="0"/>
            </w:pPr>
            <w:r/>
            <w:r>
              <w:rPr>
                <w:rFonts w:ascii="Arial" w:hAnsi="Arial"/>
                <w:b w:val="0"/>
                <w:sz w:val="16"/>
              </w:rPr>
              <w:t>20</w:t>
            </w:r>
          </w:p>
        </w:tc>
      </w:tr>
      <w:tr>
        <w:tc>
          <w:tcPr>
            <w:tcW w:type="dxa" w:w="6803"/>
            <w:vAlign w:val="center"/>
            <w:shd w:fill="F3F6FA"/>
          </w:tcPr>
          <w:p>
            <w:pPr>
              <w:spacing w:after="0"/>
            </w:pPr>
            <w:r/>
            <w:r>
              <w:rPr>
                <w:rFonts w:ascii="Arial" w:hAnsi="Arial"/>
                <w:b w:val="0"/>
                <w:sz w:val="16"/>
              </w:rPr>
              <w:t>Formes</w:t>
            </w:r>
          </w:p>
        </w:tc>
        <w:tc>
          <w:tcPr>
            <w:tcW w:type="dxa" w:w="2268"/>
            <w:vAlign w:val="center"/>
            <w:shd w:fill="F3F6FA"/>
          </w:tcPr>
          <w:p>
            <w:pPr>
              <w:spacing w:after="0"/>
            </w:pPr>
            <w:r/>
            <w:r>
              <w:rPr>
                <w:rFonts w:ascii="Arial" w:hAnsi="Arial"/>
                <w:b w:val="0"/>
                <w:sz w:val="16"/>
              </w:rPr>
              <w:t>15</w:t>
            </w:r>
          </w:p>
        </w:tc>
      </w:tr>
      <w:tr>
        <w:tc>
          <w:tcPr>
            <w:tcW w:type="dxa" w:w="6803"/>
            <w:vAlign w:val="center"/>
          </w:tcPr>
          <w:p>
            <w:pPr>
              <w:spacing w:after="0"/>
            </w:pPr>
            <w:r/>
            <w:r>
              <w:rPr>
                <w:rFonts w:ascii="Arial" w:hAnsi="Arial"/>
                <w:b w:val="0"/>
                <w:sz w:val="16"/>
              </w:rPr>
              <w:t>Banshay</w:t>
            </w:r>
          </w:p>
        </w:tc>
        <w:tc>
          <w:tcPr>
            <w:tcW w:type="dxa" w:w="2268"/>
            <w:vAlign w:val="center"/>
          </w:tcPr>
          <w:p>
            <w:pPr>
              <w:spacing w:after="0"/>
            </w:pPr>
            <w:r/>
            <w:r>
              <w:rPr>
                <w:rFonts w:ascii="Arial" w:hAnsi="Arial"/>
                <w:b w:val="0"/>
                <w:sz w:val="16"/>
              </w:rPr>
              <w:t>15</w:t>
            </w:r>
          </w:p>
        </w:tc>
      </w:tr>
      <w:tr>
        <w:tc>
          <w:tcPr>
            <w:tcW w:type="dxa" w:w="6803"/>
            <w:vAlign w:val="center"/>
            <w:shd w:fill="F3F6FA"/>
          </w:tcPr>
          <w:p>
            <w:pPr>
              <w:spacing w:after="0"/>
            </w:pPr>
            <w:r/>
            <w:r>
              <w:rPr>
                <w:rFonts w:ascii="Arial" w:hAnsi="Arial"/>
                <w:b w:val="0"/>
                <w:sz w:val="16"/>
              </w:rPr>
              <w:t>Naban</w:t>
            </w:r>
          </w:p>
        </w:tc>
        <w:tc>
          <w:tcPr>
            <w:tcW w:type="dxa" w:w="2268"/>
            <w:vAlign w:val="center"/>
            <w:shd w:fill="F3F6FA"/>
          </w:tcPr>
          <w:p>
            <w:pPr>
              <w:spacing w:after="0"/>
            </w:pPr>
            <w:r/>
            <w:r>
              <w:rPr>
                <w:rFonts w:ascii="Arial" w:hAnsi="Arial"/>
                <w:b w:val="0"/>
                <w:sz w:val="16"/>
              </w:rPr>
              <w:t>15</w:t>
            </w:r>
          </w:p>
        </w:tc>
      </w:tr>
      <w:tr>
        <w:tc>
          <w:tcPr>
            <w:tcW w:type="dxa" w:w="6803"/>
            <w:vAlign w:val="center"/>
          </w:tcPr>
          <w:p>
            <w:pPr>
              <w:spacing w:after="0"/>
            </w:pPr>
            <w:r/>
            <w:r>
              <w:rPr>
                <w:rFonts w:ascii="Arial" w:hAnsi="Arial"/>
                <w:b w:val="0"/>
                <w:sz w:val="16"/>
              </w:rPr>
              <w:t>Lethwei</w:t>
            </w:r>
          </w:p>
        </w:tc>
        <w:tc>
          <w:tcPr>
            <w:tcW w:type="dxa" w:w="2268"/>
            <w:vAlign w:val="center"/>
          </w:tcPr>
          <w:p>
            <w:pPr>
              <w:spacing w:after="0"/>
            </w:pPr>
            <w:r/>
            <w:r>
              <w:rPr>
                <w:rFonts w:ascii="Arial" w:hAnsi="Arial"/>
                <w:b w:val="0"/>
                <w:sz w:val="16"/>
              </w:rPr>
              <w:t>15</w:t>
            </w:r>
          </w:p>
        </w:tc>
      </w:tr>
      <w:tr>
        <w:tc>
          <w:tcPr>
            <w:tcW w:type="dxa" w:w="6803"/>
            <w:vAlign w:val="center"/>
            <w:shd w:fill="F3F6FA"/>
          </w:tcPr>
          <w:p>
            <w:pPr>
              <w:spacing w:after="0"/>
            </w:pPr>
            <w:r/>
            <w:r>
              <w:rPr>
                <w:rFonts w:ascii="Arial" w:hAnsi="Arial"/>
                <w:b w:val="0"/>
                <w:sz w:val="16"/>
              </w:rPr>
              <w:t>Applications</w:t>
            </w:r>
          </w:p>
        </w:tc>
        <w:tc>
          <w:tcPr>
            <w:tcW w:type="dxa" w:w="2268"/>
            <w:vAlign w:val="center"/>
            <w:shd w:fill="F3F6FA"/>
          </w:tcPr>
          <w:p>
            <w:pPr>
              <w:spacing w:after="0"/>
            </w:pPr>
            <w:r/>
            <w:r>
              <w:rPr>
                <w:rFonts w:ascii="Arial" w:hAnsi="Arial"/>
                <w:b w:val="0"/>
                <w:sz w:val="16"/>
              </w:rPr>
              <w:t>10</w:t>
            </w:r>
          </w:p>
        </w:tc>
      </w:tr>
      <w:tr>
        <w:tc>
          <w:tcPr>
            <w:tcW w:type="dxa" w:w="6803"/>
            <w:vAlign w:val="center"/>
          </w:tcPr>
          <w:p>
            <w:pPr>
              <w:spacing w:after="0"/>
            </w:pPr>
            <w:r/>
            <w:r>
              <w:rPr>
                <w:rFonts w:ascii="Arial" w:hAnsi="Arial"/>
                <w:b w:val="0"/>
                <w:sz w:val="16"/>
              </w:rPr>
              <w:t>Min Zin / Monk</w:t>
            </w:r>
          </w:p>
        </w:tc>
        <w:tc>
          <w:tcPr>
            <w:tcW w:type="dxa" w:w="2268"/>
            <w:vAlign w:val="center"/>
          </w:tcPr>
          <w:p>
            <w:pPr>
              <w:spacing w:after="0"/>
            </w:pPr>
            <w:r/>
            <w:r>
              <w:rPr>
                <w:rFonts w:ascii="Arial" w:hAnsi="Arial"/>
                <w:b w:val="0"/>
                <w:sz w:val="16"/>
              </w:rPr>
              <w:t>5</w:t>
            </w:r>
          </w:p>
        </w:tc>
      </w:tr>
      <w:tr>
        <w:tc>
          <w:tcPr>
            <w:tcW w:type="dxa" w:w="6803"/>
            <w:vAlign w:val="center"/>
            <w:shd w:fill="F3F6FA"/>
          </w:tcPr>
          <w:p>
            <w:pPr>
              <w:spacing w:after="0"/>
            </w:pPr>
            <w:r/>
            <w:r>
              <w:rPr>
                <w:rFonts w:ascii="Arial" w:hAnsi="Arial"/>
                <w:b w:val="0"/>
                <w:sz w:val="16"/>
              </w:rPr>
              <w:t>Connaissances</w:t>
            </w:r>
          </w:p>
        </w:tc>
        <w:tc>
          <w:tcPr>
            <w:tcW w:type="dxa" w:w="2268"/>
            <w:vAlign w:val="center"/>
            <w:shd w:fill="F3F6FA"/>
          </w:tcPr>
          <w:p>
            <w:pPr>
              <w:spacing w:after="0"/>
            </w:pPr>
            <w:r/>
            <w:r>
              <w:rPr>
                <w:rFonts w:ascii="Arial" w:hAnsi="Arial"/>
                <w:b w:val="0"/>
                <w:sz w:val="16"/>
              </w:rPr>
              <w:t>5</w:t>
            </w:r>
          </w:p>
        </w:tc>
      </w:tr>
    </w:tbl>
    <w:p>
      <w:pPr>
        <w:spacing w:after="20"/>
      </w:pPr>
    </w:p>
    <w:p>
      <w:r>
        <w:rPr>
          <w:b/>
          <w:color w:val="C00000"/>
        </w:rPr>
        <w:t>Seuil de validation : 65/100.</w:t>
      </w:r>
    </w:p>
    <w:p>
      <w:r>
        <w:br w:type="page"/>
      </w:r>
    </w:p>
    <w:p>
      <w:pPr>
        <w:pStyle w:val="Heading2"/>
      </w:pPr>
      <w:r>
        <w:t>NIVEAU 5 — CEINTURE MARRON</w:t>
      </w:r>
    </w:p>
    <w:p>
      <w:pPr>
        <w:jc w:val="left"/>
      </w:pPr>
      <w:r>
        <w:rPr>
          <w:b/>
          <w:color w:val="666666"/>
        </w:rPr>
        <w:t>Maîtrise : exécuter • appliquer • expliquer</w:t>
      </w: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2438"/>
            <w:vAlign w:val="center"/>
            <w:shd w:fill="17365D"/>
          </w:tcPr>
          <w:p>
            <w:pPr>
              <w:spacing w:after="0"/>
            </w:pPr>
            <w:r/>
            <w:r>
              <w:rPr>
                <w:rFonts w:ascii="Arial" w:hAnsi="Arial"/>
                <w:b/>
                <w:color w:val="FFFFFF"/>
                <w:sz w:val="16"/>
              </w:rPr>
              <w:t>Domaine</w:t>
            </w:r>
          </w:p>
        </w:tc>
        <w:tc>
          <w:tcPr>
            <w:tcW w:type="dxa" w:w="7257"/>
            <w:vAlign w:val="center"/>
            <w:shd w:fill="17365D"/>
          </w:tcPr>
          <w:p>
            <w:pPr>
              <w:spacing w:after="0"/>
            </w:pPr>
            <w:r/>
            <w:r>
              <w:rPr>
                <w:rFonts w:ascii="Arial" w:hAnsi="Arial"/>
                <w:b/>
                <w:color w:val="FFFFFF"/>
                <w:sz w:val="16"/>
              </w:rPr>
              <w:t>Techniques / exigences</w:t>
            </w:r>
          </w:p>
        </w:tc>
      </w:tr>
      <w:tr>
        <w:tc>
          <w:tcPr>
            <w:tcW w:type="dxa" w:w="2438"/>
            <w:vAlign w:val="center"/>
          </w:tcPr>
          <w:p>
            <w:pPr>
              <w:spacing w:after="0"/>
            </w:pPr>
            <w:r/>
            <w:r>
              <w:rPr>
                <w:rFonts w:ascii="Arial" w:hAnsi="Arial"/>
                <w:b w:val="0"/>
                <w:sz w:val="16"/>
              </w:rPr>
              <w:t>Bando</w:t>
            </w:r>
          </w:p>
        </w:tc>
        <w:tc>
          <w:tcPr>
            <w:tcW w:type="dxa" w:w="7257"/>
            <w:vAlign w:val="center"/>
          </w:tcPr>
          <w:p>
            <w:pPr>
              <w:spacing w:after="0"/>
            </w:pPr>
            <w:r/>
            <w:r>
              <w:rPr>
                <w:rFonts w:ascii="Arial" w:hAnsi="Arial"/>
                <w:b w:val="0"/>
                <w:sz w:val="16"/>
              </w:rPr>
              <w:t>Programme cumulatif complet ; techniques tirées au sort.</w:t>
            </w:r>
          </w:p>
        </w:tc>
      </w:tr>
      <w:tr>
        <w:tc>
          <w:tcPr>
            <w:tcW w:type="dxa" w:w="2438"/>
            <w:vAlign w:val="center"/>
            <w:shd w:fill="F3F6FA"/>
          </w:tcPr>
          <w:p>
            <w:pPr>
              <w:spacing w:after="0"/>
            </w:pPr>
            <w:r/>
            <w:r>
              <w:rPr>
                <w:rFonts w:ascii="Arial" w:hAnsi="Arial"/>
                <w:b w:val="0"/>
                <w:sz w:val="16"/>
              </w:rPr>
              <w:t>Formes</w:t>
            </w:r>
          </w:p>
        </w:tc>
        <w:tc>
          <w:tcPr>
            <w:tcW w:type="dxa" w:w="7257"/>
            <w:vAlign w:val="center"/>
            <w:shd w:fill="F3F6FA"/>
          </w:tcPr>
          <w:p>
            <w:pPr>
              <w:spacing w:after="0"/>
            </w:pPr>
            <w:r/>
            <w:r>
              <w:rPr>
                <w:rFonts w:ascii="Arial" w:hAnsi="Arial"/>
                <w:b w:val="0"/>
                <w:sz w:val="16"/>
              </w:rPr>
              <w:t>TEE + une forme antérieure tirée au sort.</w:t>
            </w:r>
          </w:p>
        </w:tc>
      </w:tr>
      <w:tr>
        <w:tc>
          <w:tcPr>
            <w:tcW w:type="dxa" w:w="2438"/>
            <w:vAlign w:val="center"/>
          </w:tcPr>
          <w:p>
            <w:pPr>
              <w:spacing w:after="0"/>
            </w:pPr>
            <w:r/>
            <w:r>
              <w:rPr>
                <w:rFonts w:ascii="Arial" w:hAnsi="Arial"/>
                <w:b w:val="0"/>
                <w:sz w:val="16"/>
              </w:rPr>
              <w:t>Petit bâton</w:t>
            </w:r>
          </w:p>
        </w:tc>
        <w:tc>
          <w:tcPr>
            <w:tcW w:type="dxa" w:w="7257"/>
            <w:vAlign w:val="center"/>
          </w:tcPr>
          <w:p>
            <w:pPr>
              <w:spacing w:after="0"/>
            </w:pPr>
            <w:r/>
            <w:r>
              <w:rPr>
                <w:rFonts w:ascii="Arial" w:hAnsi="Arial"/>
                <w:b w:val="0"/>
                <w:sz w:val="16"/>
              </w:rPr>
              <w:t>2e kata.</w:t>
            </w:r>
          </w:p>
        </w:tc>
      </w:tr>
      <w:tr>
        <w:tc>
          <w:tcPr>
            <w:tcW w:type="dxa" w:w="2438"/>
            <w:vAlign w:val="center"/>
            <w:shd w:fill="F3F6FA"/>
          </w:tcPr>
          <w:p>
            <w:pPr>
              <w:spacing w:after="0"/>
            </w:pPr>
            <w:r/>
            <w:r>
              <w:rPr>
                <w:rFonts w:ascii="Arial" w:hAnsi="Arial"/>
                <w:b w:val="0"/>
                <w:sz w:val="16"/>
              </w:rPr>
              <w:t>Grand bâton</w:t>
            </w:r>
          </w:p>
        </w:tc>
        <w:tc>
          <w:tcPr>
            <w:tcW w:type="dxa" w:w="7257"/>
            <w:vAlign w:val="center"/>
            <w:shd w:fill="F3F6FA"/>
          </w:tcPr>
          <w:p>
            <w:pPr>
              <w:spacing w:after="0"/>
            </w:pPr>
            <w:r/>
            <w:r>
              <w:rPr>
                <w:rFonts w:ascii="Arial" w:hAnsi="Arial"/>
                <w:b w:val="0"/>
                <w:sz w:val="16"/>
              </w:rPr>
              <w:t>FOUR CORNER.</w:t>
            </w:r>
          </w:p>
        </w:tc>
      </w:tr>
      <w:tr>
        <w:tc>
          <w:tcPr>
            <w:tcW w:type="dxa" w:w="2438"/>
            <w:vAlign w:val="center"/>
          </w:tcPr>
          <w:p>
            <w:pPr>
              <w:spacing w:after="0"/>
            </w:pPr>
            <w:r/>
            <w:r>
              <w:rPr>
                <w:rFonts w:ascii="Arial" w:hAnsi="Arial"/>
                <w:b w:val="0"/>
                <w:sz w:val="16"/>
              </w:rPr>
              <w:t>Kukri</w:t>
            </w:r>
          </w:p>
        </w:tc>
        <w:tc>
          <w:tcPr>
            <w:tcW w:type="dxa" w:w="7257"/>
            <w:vAlign w:val="center"/>
          </w:tcPr>
          <w:p>
            <w:pPr>
              <w:spacing w:after="0"/>
            </w:pPr>
            <w:r/>
            <w:r>
              <w:rPr>
                <w:rFonts w:ascii="Arial" w:hAnsi="Arial"/>
                <w:b w:val="0"/>
                <w:sz w:val="16"/>
              </w:rPr>
              <w:t>Salut ; 6 dégainages ; 6 coupes ; déplacements ; matériel sécurisé.</w:t>
            </w:r>
          </w:p>
        </w:tc>
      </w:tr>
      <w:tr>
        <w:tc>
          <w:tcPr>
            <w:tcW w:type="dxa" w:w="2438"/>
            <w:vAlign w:val="center"/>
            <w:shd w:fill="F3F6FA"/>
          </w:tcPr>
          <w:p>
            <w:pPr>
              <w:spacing w:after="0"/>
            </w:pPr>
            <w:r/>
            <w:r>
              <w:rPr>
                <w:rFonts w:ascii="Arial" w:hAnsi="Arial"/>
                <w:b w:val="0"/>
                <w:sz w:val="16"/>
              </w:rPr>
              <w:t>Poignard</w:t>
            </w:r>
          </w:p>
        </w:tc>
        <w:tc>
          <w:tcPr>
            <w:tcW w:type="dxa" w:w="7257"/>
            <w:vAlign w:val="center"/>
            <w:shd w:fill="F3F6FA"/>
          </w:tcPr>
          <w:p>
            <w:pPr>
              <w:spacing w:after="0"/>
            </w:pPr>
            <w:r/>
            <w:r>
              <w:rPr>
                <w:rFonts w:ascii="Arial" w:hAnsi="Arial"/>
                <w:b w:val="0"/>
                <w:sz w:val="16"/>
              </w:rPr>
              <w:t>9 mouvements fondamentaux du corpus historique avec simulateur sécurisé.</w:t>
            </w:r>
          </w:p>
        </w:tc>
      </w:tr>
      <w:tr>
        <w:tc>
          <w:tcPr>
            <w:tcW w:type="dxa" w:w="2438"/>
            <w:vAlign w:val="center"/>
          </w:tcPr>
          <w:p>
            <w:pPr>
              <w:spacing w:after="0"/>
            </w:pPr>
            <w:r/>
            <w:r>
              <w:rPr>
                <w:rFonts w:ascii="Arial" w:hAnsi="Arial"/>
                <w:b w:val="0"/>
                <w:sz w:val="16"/>
              </w:rPr>
              <w:t>Naban</w:t>
            </w:r>
          </w:p>
        </w:tc>
        <w:tc>
          <w:tcPr>
            <w:tcW w:type="dxa" w:w="7257"/>
            <w:vAlign w:val="center"/>
          </w:tcPr>
          <w:p>
            <w:pPr>
              <w:spacing w:after="0"/>
            </w:pPr>
            <w:r/>
            <w:r>
              <w:rPr>
                <w:rFonts w:ascii="Arial" w:hAnsi="Arial"/>
                <w:b w:val="0"/>
                <w:sz w:val="16"/>
              </w:rPr>
              <w:t>6 immobilisations ; 3 étranglements ; 3 clés de bras ; projection → contrôle → immobilisation.</w:t>
            </w:r>
          </w:p>
        </w:tc>
      </w:tr>
      <w:tr>
        <w:tc>
          <w:tcPr>
            <w:tcW w:type="dxa" w:w="2438"/>
            <w:vAlign w:val="center"/>
            <w:shd w:fill="F3F6FA"/>
          </w:tcPr>
          <w:p>
            <w:pPr>
              <w:spacing w:after="0"/>
            </w:pPr>
            <w:r/>
            <w:r>
              <w:rPr>
                <w:rFonts w:ascii="Arial" w:hAnsi="Arial"/>
                <w:b w:val="0"/>
                <w:sz w:val="16"/>
              </w:rPr>
              <w:t>Lethwei</w:t>
            </w:r>
          </w:p>
        </w:tc>
        <w:tc>
          <w:tcPr>
            <w:tcW w:type="dxa" w:w="7257"/>
            <w:vAlign w:val="center"/>
            <w:shd w:fill="F3F6FA"/>
          </w:tcPr>
          <w:p>
            <w:pPr>
              <w:spacing w:after="0"/>
            </w:pPr>
            <w:r/>
            <w:r>
              <w:rPr>
                <w:rFonts w:ascii="Arial" w:hAnsi="Arial"/>
                <w:b w:val="0"/>
                <w:sz w:val="16"/>
              </w:rPr>
              <w:t>Deux assauts techniques ; analyse orale d’une séquence.</w:t>
            </w:r>
          </w:p>
        </w:tc>
      </w:tr>
      <w:tr>
        <w:tc>
          <w:tcPr>
            <w:tcW w:type="dxa" w:w="2438"/>
            <w:vAlign w:val="center"/>
          </w:tcPr>
          <w:p>
            <w:pPr>
              <w:spacing w:after="0"/>
            </w:pPr>
            <w:r/>
            <w:r>
              <w:rPr>
                <w:rFonts w:ascii="Arial" w:hAnsi="Arial"/>
                <w:b w:val="0"/>
                <w:sz w:val="16"/>
              </w:rPr>
              <w:t>Min Zin</w:t>
            </w:r>
          </w:p>
        </w:tc>
        <w:tc>
          <w:tcPr>
            <w:tcW w:type="dxa" w:w="7257"/>
            <w:vAlign w:val="center"/>
          </w:tcPr>
          <w:p>
            <w:pPr>
              <w:spacing w:after="0"/>
            </w:pPr>
            <w:r/>
            <w:r>
              <w:rPr>
                <w:rFonts w:ascii="Arial" w:hAnsi="Arial"/>
                <w:b w:val="0"/>
                <w:sz w:val="16"/>
              </w:rPr>
              <w:t>Respiration, concentration, récupération ; conduite d’un exercice simple.</w:t>
            </w:r>
          </w:p>
        </w:tc>
      </w:tr>
      <w:tr>
        <w:tc>
          <w:tcPr>
            <w:tcW w:type="dxa" w:w="2438"/>
            <w:vAlign w:val="center"/>
            <w:shd w:fill="F3F6FA"/>
          </w:tcPr>
          <w:p>
            <w:pPr>
              <w:spacing w:after="0"/>
            </w:pPr>
            <w:r/>
            <w:r>
              <w:rPr>
                <w:rFonts w:ascii="Arial" w:hAnsi="Arial"/>
                <w:b w:val="0"/>
                <w:sz w:val="16"/>
              </w:rPr>
              <w:t>Monk System</w:t>
            </w:r>
          </w:p>
        </w:tc>
        <w:tc>
          <w:tcPr>
            <w:tcW w:type="dxa" w:w="7257"/>
            <w:vAlign w:val="center"/>
            <w:shd w:fill="F3F6FA"/>
          </w:tcPr>
          <w:p>
            <w:pPr>
              <w:spacing w:after="0"/>
            </w:pPr>
            <w:r/>
            <w:r>
              <w:rPr>
                <w:rFonts w:ascii="Arial" w:hAnsi="Arial"/>
                <w:b w:val="0"/>
                <w:sz w:val="16"/>
              </w:rPr>
              <w:t>Evasive + Restraining + introduction Striking.</w:t>
            </w:r>
          </w:p>
        </w:tc>
      </w:tr>
      <w:tr>
        <w:tc>
          <w:tcPr>
            <w:tcW w:type="dxa" w:w="2438"/>
            <w:vAlign w:val="center"/>
          </w:tcPr>
          <w:p>
            <w:pPr>
              <w:spacing w:after="0"/>
            </w:pPr>
            <w:r/>
            <w:r>
              <w:rPr>
                <w:rFonts w:ascii="Arial" w:hAnsi="Arial"/>
                <w:b w:val="0"/>
                <w:sz w:val="16"/>
              </w:rPr>
              <w:t>Culture</w:t>
            </w:r>
          </w:p>
        </w:tc>
        <w:tc>
          <w:tcPr>
            <w:tcW w:type="dxa" w:w="7257"/>
            <w:vAlign w:val="center"/>
          </w:tcPr>
          <w:p>
            <w:pPr>
              <w:spacing w:after="0"/>
            </w:pPr>
            <w:r/>
            <w:r>
              <w:rPr>
                <w:rFonts w:ascii="Arial" w:hAnsi="Arial"/>
                <w:b w:val="0"/>
                <w:sz w:val="16"/>
              </w:rPr>
              <w:t>Histoire du Bando / Thaing et terminologie traditionnelle.</w:t>
            </w:r>
          </w:p>
        </w:tc>
      </w:tr>
    </w:tbl>
    <w:p>
      <w:pPr>
        <w:spacing w:after="20"/>
      </w:pP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6803"/>
            <w:vAlign w:val="center"/>
            <w:shd w:fill="17365D"/>
          </w:tcPr>
          <w:p>
            <w:pPr>
              <w:spacing w:after="0"/>
            </w:pPr>
            <w:r/>
            <w:r>
              <w:rPr>
                <w:rFonts w:ascii="Arial" w:hAnsi="Arial"/>
                <w:b/>
                <w:color w:val="FFFFFF"/>
                <w:sz w:val="16"/>
              </w:rPr>
              <w:t>Épreuve</w:t>
            </w:r>
          </w:p>
        </w:tc>
        <w:tc>
          <w:tcPr>
            <w:tcW w:type="dxa" w:w="2268"/>
            <w:vAlign w:val="center"/>
            <w:shd w:fill="17365D"/>
          </w:tcPr>
          <w:p>
            <w:pPr>
              <w:spacing w:after="0"/>
            </w:pPr>
            <w:r/>
            <w:r>
              <w:rPr>
                <w:rFonts w:ascii="Arial" w:hAnsi="Arial"/>
                <w:b/>
                <w:color w:val="FFFFFF"/>
                <w:sz w:val="16"/>
              </w:rPr>
              <w:t>Points</w:t>
            </w:r>
          </w:p>
        </w:tc>
      </w:tr>
      <w:tr>
        <w:tc>
          <w:tcPr>
            <w:tcW w:type="dxa" w:w="6803"/>
            <w:vAlign w:val="center"/>
          </w:tcPr>
          <w:p>
            <w:pPr>
              <w:spacing w:after="0"/>
            </w:pPr>
            <w:r/>
            <w:r>
              <w:rPr>
                <w:rFonts w:ascii="Arial" w:hAnsi="Arial"/>
                <w:b w:val="0"/>
                <w:sz w:val="16"/>
              </w:rPr>
              <w:t>Bando</w:t>
            </w:r>
          </w:p>
        </w:tc>
        <w:tc>
          <w:tcPr>
            <w:tcW w:type="dxa" w:w="2268"/>
            <w:vAlign w:val="center"/>
          </w:tcPr>
          <w:p>
            <w:pPr>
              <w:spacing w:after="0"/>
            </w:pPr>
            <w:r/>
            <w:r>
              <w:rPr>
                <w:rFonts w:ascii="Arial" w:hAnsi="Arial"/>
                <w:b w:val="0"/>
                <w:sz w:val="16"/>
              </w:rPr>
              <w:t>20</w:t>
            </w:r>
          </w:p>
        </w:tc>
      </w:tr>
      <w:tr>
        <w:tc>
          <w:tcPr>
            <w:tcW w:type="dxa" w:w="6803"/>
            <w:vAlign w:val="center"/>
            <w:shd w:fill="F3F6FA"/>
          </w:tcPr>
          <w:p>
            <w:pPr>
              <w:spacing w:after="0"/>
            </w:pPr>
            <w:r/>
            <w:r>
              <w:rPr>
                <w:rFonts w:ascii="Arial" w:hAnsi="Arial"/>
                <w:b w:val="0"/>
                <w:sz w:val="16"/>
              </w:rPr>
              <w:t>Formes</w:t>
            </w:r>
          </w:p>
        </w:tc>
        <w:tc>
          <w:tcPr>
            <w:tcW w:type="dxa" w:w="2268"/>
            <w:vAlign w:val="center"/>
            <w:shd w:fill="F3F6FA"/>
          </w:tcPr>
          <w:p>
            <w:pPr>
              <w:spacing w:after="0"/>
            </w:pPr>
            <w:r/>
            <w:r>
              <w:rPr>
                <w:rFonts w:ascii="Arial" w:hAnsi="Arial"/>
                <w:b w:val="0"/>
                <w:sz w:val="16"/>
              </w:rPr>
              <w:t>15</w:t>
            </w:r>
          </w:p>
        </w:tc>
      </w:tr>
      <w:tr>
        <w:tc>
          <w:tcPr>
            <w:tcW w:type="dxa" w:w="6803"/>
            <w:vAlign w:val="center"/>
          </w:tcPr>
          <w:p>
            <w:pPr>
              <w:spacing w:after="0"/>
            </w:pPr>
            <w:r/>
            <w:r>
              <w:rPr>
                <w:rFonts w:ascii="Arial" w:hAnsi="Arial"/>
                <w:b w:val="0"/>
                <w:sz w:val="16"/>
              </w:rPr>
              <w:t>Banshay</w:t>
            </w:r>
          </w:p>
        </w:tc>
        <w:tc>
          <w:tcPr>
            <w:tcW w:type="dxa" w:w="2268"/>
            <w:vAlign w:val="center"/>
          </w:tcPr>
          <w:p>
            <w:pPr>
              <w:spacing w:after="0"/>
            </w:pPr>
            <w:r/>
            <w:r>
              <w:rPr>
                <w:rFonts w:ascii="Arial" w:hAnsi="Arial"/>
                <w:b w:val="0"/>
                <w:sz w:val="16"/>
              </w:rPr>
              <w:t>20</w:t>
            </w:r>
          </w:p>
        </w:tc>
      </w:tr>
      <w:tr>
        <w:tc>
          <w:tcPr>
            <w:tcW w:type="dxa" w:w="6803"/>
            <w:vAlign w:val="center"/>
            <w:shd w:fill="F3F6FA"/>
          </w:tcPr>
          <w:p>
            <w:pPr>
              <w:spacing w:after="0"/>
            </w:pPr>
            <w:r/>
            <w:r>
              <w:rPr>
                <w:rFonts w:ascii="Arial" w:hAnsi="Arial"/>
                <w:b w:val="0"/>
                <w:sz w:val="16"/>
              </w:rPr>
              <w:t>Naban</w:t>
            </w:r>
          </w:p>
        </w:tc>
        <w:tc>
          <w:tcPr>
            <w:tcW w:type="dxa" w:w="2268"/>
            <w:vAlign w:val="center"/>
            <w:shd w:fill="F3F6FA"/>
          </w:tcPr>
          <w:p>
            <w:pPr>
              <w:spacing w:after="0"/>
            </w:pPr>
            <w:r/>
            <w:r>
              <w:rPr>
                <w:rFonts w:ascii="Arial" w:hAnsi="Arial"/>
                <w:b w:val="0"/>
                <w:sz w:val="16"/>
              </w:rPr>
              <w:t>15</w:t>
            </w:r>
          </w:p>
        </w:tc>
      </w:tr>
      <w:tr>
        <w:tc>
          <w:tcPr>
            <w:tcW w:type="dxa" w:w="6803"/>
            <w:vAlign w:val="center"/>
          </w:tcPr>
          <w:p>
            <w:pPr>
              <w:spacing w:after="0"/>
            </w:pPr>
            <w:r/>
            <w:r>
              <w:rPr>
                <w:rFonts w:ascii="Arial" w:hAnsi="Arial"/>
                <w:b w:val="0"/>
                <w:sz w:val="16"/>
              </w:rPr>
              <w:t>Lethwei</w:t>
            </w:r>
          </w:p>
        </w:tc>
        <w:tc>
          <w:tcPr>
            <w:tcW w:type="dxa" w:w="2268"/>
            <w:vAlign w:val="center"/>
          </w:tcPr>
          <w:p>
            <w:pPr>
              <w:spacing w:after="0"/>
            </w:pPr>
            <w:r/>
            <w:r>
              <w:rPr>
                <w:rFonts w:ascii="Arial" w:hAnsi="Arial"/>
                <w:b w:val="0"/>
                <w:sz w:val="16"/>
              </w:rPr>
              <w:t>15</w:t>
            </w:r>
          </w:p>
        </w:tc>
      </w:tr>
      <w:tr>
        <w:tc>
          <w:tcPr>
            <w:tcW w:type="dxa" w:w="6803"/>
            <w:vAlign w:val="center"/>
            <w:shd w:fill="F3F6FA"/>
          </w:tcPr>
          <w:p>
            <w:pPr>
              <w:spacing w:after="0"/>
            </w:pPr>
            <w:r/>
            <w:r>
              <w:rPr>
                <w:rFonts w:ascii="Arial" w:hAnsi="Arial"/>
                <w:b w:val="0"/>
                <w:sz w:val="16"/>
              </w:rPr>
              <w:t>Applications / explication</w:t>
            </w:r>
          </w:p>
        </w:tc>
        <w:tc>
          <w:tcPr>
            <w:tcW w:type="dxa" w:w="2268"/>
            <w:vAlign w:val="center"/>
            <w:shd w:fill="F3F6FA"/>
          </w:tcPr>
          <w:p>
            <w:pPr>
              <w:spacing w:after="0"/>
            </w:pPr>
            <w:r/>
            <w:r>
              <w:rPr>
                <w:rFonts w:ascii="Arial" w:hAnsi="Arial"/>
                <w:b w:val="0"/>
                <w:sz w:val="16"/>
              </w:rPr>
              <w:t>5</w:t>
            </w:r>
          </w:p>
        </w:tc>
      </w:tr>
      <w:tr>
        <w:tc>
          <w:tcPr>
            <w:tcW w:type="dxa" w:w="6803"/>
            <w:vAlign w:val="center"/>
          </w:tcPr>
          <w:p>
            <w:pPr>
              <w:spacing w:after="0"/>
            </w:pPr>
            <w:r/>
            <w:r>
              <w:rPr>
                <w:rFonts w:ascii="Arial" w:hAnsi="Arial"/>
                <w:b w:val="0"/>
                <w:sz w:val="16"/>
              </w:rPr>
              <w:t>Min Zin / Monk</w:t>
            </w:r>
          </w:p>
        </w:tc>
        <w:tc>
          <w:tcPr>
            <w:tcW w:type="dxa" w:w="2268"/>
            <w:vAlign w:val="center"/>
          </w:tcPr>
          <w:p>
            <w:pPr>
              <w:spacing w:after="0"/>
            </w:pPr>
            <w:r/>
            <w:r>
              <w:rPr>
                <w:rFonts w:ascii="Arial" w:hAnsi="Arial"/>
                <w:b w:val="0"/>
                <w:sz w:val="16"/>
              </w:rPr>
              <w:t>5</w:t>
            </w:r>
          </w:p>
        </w:tc>
      </w:tr>
      <w:tr>
        <w:tc>
          <w:tcPr>
            <w:tcW w:type="dxa" w:w="6803"/>
            <w:vAlign w:val="center"/>
            <w:shd w:fill="F3F6FA"/>
          </w:tcPr>
          <w:p>
            <w:pPr>
              <w:spacing w:after="0"/>
            </w:pPr>
            <w:r/>
            <w:r>
              <w:rPr>
                <w:rFonts w:ascii="Arial" w:hAnsi="Arial"/>
                <w:b w:val="0"/>
                <w:sz w:val="16"/>
              </w:rPr>
              <w:t>Culture</w:t>
            </w:r>
          </w:p>
        </w:tc>
        <w:tc>
          <w:tcPr>
            <w:tcW w:type="dxa" w:w="2268"/>
            <w:vAlign w:val="center"/>
            <w:shd w:fill="F3F6FA"/>
          </w:tcPr>
          <w:p>
            <w:pPr>
              <w:spacing w:after="0"/>
            </w:pPr>
            <w:r/>
            <w:r>
              <w:rPr>
                <w:rFonts w:ascii="Arial" w:hAnsi="Arial"/>
                <w:b w:val="0"/>
                <w:sz w:val="16"/>
              </w:rPr>
              <w:t>5</w:t>
            </w:r>
          </w:p>
        </w:tc>
      </w:tr>
    </w:tbl>
    <w:p>
      <w:pPr>
        <w:spacing w:after="20"/>
      </w:pPr>
    </w:p>
    <w:p>
      <w:r>
        <w:rPr>
          <w:b/>
          <w:color w:val="C00000"/>
        </w:rPr>
        <w:t>Seuil de validation : 65/100.</w:t>
      </w:r>
    </w:p>
    <w:p>
      <w:pPr>
        <w:pStyle w:val="Heading2"/>
      </w:pPr>
      <w:r>
        <w:t>NIVEAU 6 — CEINTURE NOIRE — 1er DEGRÉ</w:t>
      </w:r>
    </w:p>
    <w:p>
      <w:pPr>
        <w:jc w:val="left"/>
      </w:pPr>
      <w:r>
        <w:rPr>
          <w:b/>
          <w:color w:val="666666"/>
        </w:rPr>
        <w:t>Maîtrise transversale : exécuter • appliquer • expliquer • transmettre</w:t>
      </w: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2438"/>
            <w:vAlign w:val="center"/>
            <w:shd w:fill="17365D"/>
          </w:tcPr>
          <w:p>
            <w:pPr>
              <w:spacing w:after="0"/>
            </w:pPr>
            <w:r/>
            <w:r>
              <w:rPr>
                <w:rFonts w:ascii="Arial" w:hAnsi="Arial"/>
                <w:b/>
                <w:color w:val="FFFFFF"/>
                <w:sz w:val="16"/>
              </w:rPr>
              <w:t>Domaine</w:t>
            </w:r>
          </w:p>
        </w:tc>
        <w:tc>
          <w:tcPr>
            <w:tcW w:type="dxa" w:w="7257"/>
            <w:vAlign w:val="center"/>
            <w:shd w:fill="17365D"/>
          </w:tcPr>
          <w:p>
            <w:pPr>
              <w:spacing w:after="0"/>
            </w:pPr>
            <w:r/>
            <w:r>
              <w:rPr>
                <w:rFonts w:ascii="Arial" w:hAnsi="Arial"/>
                <w:b/>
                <w:color w:val="FFFFFF"/>
                <w:sz w:val="16"/>
              </w:rPr>
              <w:t>Techniques / exigences</w:t>
            </w:r>
          </w:p>
        </w:tc>
      </w:tr>
      <w:tr>
        <w:tc>
          <w:tcPr>
            <w:tcW w:type="dxa" w:w="2438"/>
            <w:vAlign w:val="center"/>
          </w:tcPr>
          <w:p>
            <w:pPr>
              <w:spacing w:after="0"/>
            </w:pPr>
            <w:r/>
            <w:r>
              <w:rPr>
                <w:rFonts w:ascii="Arial" w:hAnsi="Arial"/>
                <w:b w:val="0"/>
                <w:sz w:val="16"/>
              </w:rPr>
              <w:t>Bando</w:t>
            </w:r>
          </w:p>
        </w:tc>
        <w:tc>
          <w:tcPr>
            <w:tcW w:type="dxa" w:w="7257"/>
            <w:vAlign w:val="center"/>
          </w:tcPr>
          <w:p>
            <w:pPr>
              <w:spacing w:after="0"/>
            </w:pPr>
            <w:r/>
            <w:r>
              <w:rPr>
                <w:rFonts w:ascii="Arial" w:hAnsi="Arial"/>
                <w:b w:val="0"/>
                <w:sz w:val="16"/>
              </w:rPr>
              <w:t>Programme cumulatif ; techniques imposées ; enchaînement libre ; applications.</w:t>
            </w:r>
          </w:p>
        </w:tc>
      </w:tr>
      <w:tr>
        <w:tc>
          <w:tcPr>
            <w:tcW w:type="dxa" w:w="2438"/>
            <w:vAlign w:val="center"/>
            <w:shd w:fill="F3F6FA"/>
          </w:tcPr>
          <w:p>
            <w:pPr>
              <w:spacing w:after="0"/>
            </w:pPr>
            <w:r/>
            <w:r>
              <w:rPr>
                <w:rFonts w:ascii="Arial" w:hAnsi="Arial"/>
                <w:b w:val="0"/>
                <w:sz w:val="16"/>
              </w:rPr>
              <w:t>Formes</w:t>
            </w:r>
          </w:p>
        </w:tc>
        <w:tc>
          <w:tcPr>
            <w:tcW w:type="dxa" w:w="7257"/>
            <w:vAlign w:val="center"/>
            <w:shd w:fill="F3F6FA"/>
          </w:tcPr>
          <w:p>
            <w:pPr>
              <w:spacing w:after="0"/>
            </w:pPr>
            <w:r/>
            <w:r>
              <w:rPr>
                <w:rFonts w:ascii="Arial" w:hAnsi="Arial"/>
                <w:b w:val="0"/>
                <w:sz w:val="16"/>
              </w:rPr>
              <w:t>POINT, SQUARE, CROSS, TEE : une tirée au sort + une choisie par le candidat.</w:t>
            </w:r>
          </w:p>
        </w:tc>
      </w:tr>
      <w:tr>
        <w:tc>
          <w:tcPr>
            <w:tcW w:type="dxa" w:w="2438"/>
            <w:vAlign w:val="center"/>
          </w:tcPr>
          <w:p>
            <w:pPr>
              <w:spacing w:after="0"/>
            </w:pPr>
            <w:r/>
            <w:r>
              <w:rPr>
                <w:rFonts w:ascii="Arial" w:hAnsi="Arial"/>
                <w:b w:val="0"/>
                <w:sz w:val="16"/>
              </w:rPr>
              <w:t>Petit bâton</w:t>
            </w:r>
          </w:p>
        </w:tc>
        <w:tc>
          <w:tcPr>
            <w:tcW w:type="dxa" w:w="7257"/>
            <w:vAlign w:val="center"/>
          </w:tcPr>
          <w:p>
            <w:pPr>
              <w:spacing w:after="0"/>
            </w:pPr>
            <w:r/>
            <w:r>
              <w:rPr>
                <w:rFonts w:ascii="Arial" w:hAnsi="Arial"/>
                <w:b w:val="0"/>
                <w:sz w:val="16"/>
              </w:rPr>
              <w:t>3e kata petit bâton.</w:t>
            </w:r>
          </w:p>
        </w:tc>
      </w:tr>
      <w:tr>
        <w:tc>
          <w:tcPr>
            <w:tcW w:type="dxa" w:w="2438"/>
            <w:vAlign w:val="center"/>
            <w:shd w:fill="F3F6FA"/>
          </w:tcPr>
          <w:p>
            <w:pPr>
              <w:spacing w:after="0"/>
            </w:pPr>
            <w:r/>
            <w:r>
              <w:rPr>
                <w:rFonts w:ascii="Arial" w:hAnsi="Arial"/>
                <w:b w:val="0"/>
                <w:sz w:val="16"/>
              </w:rPr>
              <w:t>Grand bâton</w:t>
            </w:r>
          </w:p>
        </w:tc>
        <w:tc>
          <w:tcPr>
            <w:tcW w:type="dxa" w:w="7257"/>
            <w:vAlign w:val="center"/>
            <w:shd w:fill="F3F6FA"/>
          </w:tcPr>
          <w:p>
            <w:pPr>
              <w:spacing w:after="0"/>
            </w:pPr>
            <w:r/>
            <w:r>
              <w:rPr>
                <w:rFonts w:ascii="Arial" w:hAnsi="Arial"/>
                <w:b w:val="0"/>
                <w:sz w:val="16"/>
              </w:rPr>
              <w:t>HORSE MAN.</w:t>
            </w:r>
          </w:p>
        </w:tc>
      </w:tr>
      <w:tr>
        <w:tc>
          <w:tcPr>
            <w:tcW w:type="dxa" w:w="2438"/>
            <w:vAlign w:val="center"/>
          </w:tcPr>
          <w:p>
            <w:pPr>
              <w:spacing w:after="0"/>
            </w:pPr>
            <w:r/>
            <w:r>
              <w:rPr>
                <w:rFonts w:ascii="Arial" w:hAnsi="Arial"/>
                <w:b w:val="0"/>
                <w:sz w:val="16"/>
              </w:rPr>
              <w:t>Kukri</w:t>
            </w:r>
          </w:p>
        </w:tc>
        <w:tc>
          <w:tcPr>
            <w:tcW w:type="dxa" w:w="7257"/>
            <w:vAlign w:val="center"/>
          </w:tcPr>
          <w:p>
            <w:pPr>
              <w:spacing w:after="0"/>
            </w:pPr>
            <w:r/>
            <w:r>
              <w:rPr>
                <w:rFonts w:ascii="Arial" w:hAnsi="Arial"/>
                <w:b w:val="0"/>
                <w:sz w:val="16"/>
              </w:rPr>
              <w:t>1er kata kukri + applications contrôlées.</w:t>
            </w:r>
          </w:p>
        </w:tc>
      </w:tr>
      <w:tr>
        <w:tc>
          <w:tcPr>
            <w:tcW w:type="dxa" w:w="2438"/>
            <w:vAlign w:val="center"/>
            <w:shd w:fill="F3F6FA"/>
          </w:tcPr>
          <w:p>
            <w:pPr>
              <w:spacing w:after="0"/>
            </w:pPr>
            <w:r/>
            <w:r>
              <w:rPr>
                <w:rFonts w:ascii="Arial" w:hAnsi="Arial"/>
                <w:b w:val="0"/>
                <w:sz w:val="16"/>
              </w:rPr>
              <w:t>Naban</w:t>
            </w:r>
          </w:p>
        </w:tc>
        <w:tc>
          <w:tcPr>
            <w:tcW w:type="dxa" w:w="7257"/>
            <w:vAlign w:val="center"/>
            <w:shd w:fill="F3F6FA"/>
          </w:tcPr>
          <w:p>
            <w:pPr>
              <w:spacing w:after="0"/>
            </w:pPr>
            <w:r/>
            <w:r>
              <w:rPr>
                <w:rFonts w:ascii="Arial" w:hAnsi="Arial"/>
                <w:b w:val="0"/>
                <w:sz w:val="16"/>
              </w:rPr>
              <w:t>Projection → contrôle → immobilisation ; clés ; étranglements ; situation imposée.</w:t>
            </w:r>
          </w:p>
        </w:tc>
      </w:tr>
      <w:tr>
        <w:tc>
          <w:tcPr>
            <w:tcW w:type="dxa" w:w="2438"/>
            <w:vAlign w:val="center"/>
          </w:tcPr>
          <w:p>
            <w:pPr>
              <w:spacing w:after="0"/>
            </w:pPr>
            <w:r/>
            <w:r>
              <w:rPr>
                <w:rFonts w:ascii="Arial" w:hAnsi="Arial"/>
                <w:b w:val="0"/>
                <w:sz w:val="16"/>
              </w:rPr>
              <w:t>Lethwei</w:t>
            </w:r>
          </w:p>
        </w:tc>
        <w:tc>
          <w:tcPr>
            <w:tcW w:type="dxa" w:w="7257"/>
            <w:vAlign w:val="center"/>
          </w:tcPr>
          <w:p>
            <w:pPr>
              <w:spacing w:after="0"/>
            </w:pPr>
            <w:r/>
            <w:r>
              <w:rPr>
                <w:rFonts w:ascii="Arial" w:hAnsi="Arial"/>
                <w:b w:val="0"/>
                <w:sz w:val="16"/>
              </w:rPr>
              <w:t>Assaut technique complet ; distance, défense, contre, clinch, maîtrise.</w:t>
            </w:r>
          </w:p>
        </w:tc>
      </w:tr>
      <w:tr>
        <w:tc>
          <w:tcPr>
            <w:tcW w:type="dxa" w:w="2438"/>
            <w:vAlign w:val="center"/>
            <w:shd w:fill="F3F6FA"/>
          </w:tcPr>
          <w:p>
            <w:pPr>
              <w:spacing w:after="0"/>
            </w:pPr>
            <w:r/>
            <w:r>
              <w:rPr>
                <w:rFonts w:ascii="Arial" w:hAnsi="Arial"/>
                <w:b w:val="0"/>
                <w:sz w:val="16"/>
              </w:rPr>
              <w:t>Min Zin</w:t>
            </w:r>
          </w:p>
        </w:tc>
        <w:tc>
          <w:tcPr>
            <w:tcW w:type="dxa" w:w="7257"/>
            <w:vAlign w:val="center"/>
            <w:shd w:fill="F3F6FA"/>
          </w:tcPr>
          <w:p>
            <w:pPr>
              <w:spacing w:after="0"/>
            </w:pPr>
            <w:r/>
            <w:r>
              <w:rPr>
                <w:rFonts w:ascii="Arial" w:hAnsi="Arial"/>
                <w:b w:val="0"/>
                <w:sz w:val="16"/>
              </w:rPr>
              <w:t>Démonstration et conduite d’une séquence respiratoire.</w:t>
            </w:r>
          </w:p>
        </w:tc>
      </w:tr>
      <w:tr>
        <w:tc>
          <w:tcPr>
            <w:tcW w:type="dxa" w:w="2438"/>
            <w:vAlign w:val="center"/>
          </w:tcPr>
          <w:p>
            <w:pPr>
              <w:spacing w:after="0"/>
            </w:pPr>
            <w:r/>
            <w:r>
              <w:rPr>
                <w:rFonts w:ascii="Arial" w:hAnsi="Arial"/>
                <w:b w:val="0"/>
                <w:sz w:val="16"/>
              </w:rPr>
              <w:t>Monk System</w:t>
            </w:r>
          </w:p>
        </w:tc>
        <w:tc>
          <w:tcPr>
            <w:tcW w:type="dxa" w:w="7257"/>
            <w:vAlign w:val="center"/>
          </w:tcPr>
          <w:p>
            <w:pPr>
              <w:spacing w:after="0"/>
            </w:pPr>
            <w:r/>
            <w:r>
              <w:rPr>
                <w:rFonts w:ascii="Arial" w:hAnsi="Arial"/>
                <w:b w:val="0"/>
                <w:sz w:val="16"/>
              </w:rPr>
              <w:t>Evasive + Restraining + Striking ; résolution d’une situation imposée.</w:t>
            </w:r>
          </w:p>
        </w:tc>
      </w:tr>
      <w:tr>
        <w:tc>
          <w:tcPr>
            <w:tcW w:type="dxa" w:w="2438"/>
            <w:vAlign w:val="center"/>
            <w:shd w:fill="F3F6FA"/>
          </w:tcPr>
          <w:p>
            <w:pPr>
              <w:spacing w:after="0"/>
            </w:pPr>
            <w:r/>
            <w:r>
              <w:rPr>
                <w:rFonts w:ascii="Arial" w:hAnsi="Arial"/>
                <w:b w:val="0"/>
                <w:sz w:val="16"/>
              </w:rPr>
              <w:t>Pédagogie</w:t>
            </w:r>
          </w:p>
        </w:tc>
        <w:tc>
          <w:tcPr>
            <w:tcW w:type="dxa" w:w="7257"/>
            <w:vAlign w:val="center"/>
            <w:shd w:fill="F3F6FA"/>
          </w:tcPr>
          <w:p>
            <w:pPr>
              <w:spacing w:after="0"/>
            </w:pPr>
            <w:r/>
            <w:r>
              <w:rPr>
                <w:rFonts w:ascii="Arial" w:hAnsi="Arial"/>
                <w:b w:val="0"/>
                <w:sz w:val="16"/>
              </w:rPr>
              <w:t>Séquence d’enseignement de 10 à 15 minutes.</w:t>
            </w:r>
          </w:p>
        </w:tc>
      </w:tr>
      <w:tr>
        <w:tc>
          <w:tcPr>
            <w:tcW w:type="dxa" w:w="2438"/>
            <w:vAlign w:val="center"/>
          </w:tcPr>
          <w:p>
            <w:pPr>
              <w:spacing w:after="0"/>
            </w:pPr>
            <w:r/>
            <w:r>
              <w:rPr>
                <w:rFonts w:ascii="Arial" w:hAnsi="Arial"/>
                <w:b w:val="0"/>
                <w:sz w:val="16"/>
              </w:rPr>
              <w:t>Arbitrage</w:t>
            </w:r>
          </w:p>
        </w:tc>
        <w:tc>
          <w:tcPr>
            <w:tcW w:type="dxa" w:w="7257"/>
            <w:vAlign w:val="center"/>
          </w:tcPr>
          <w:p>
            <w:pPr>
              <w:spacing w:after="0"/>
            </w:pPr>
            <w:r/>
            <w:r>
              <w:rPr>
                <w:rFonts w:ascii="Arial" w:hAnsi="Arial"/>
                <w:b w:val="0"/>
                <w:sz w:val="16"/>
              </w:rPr>
              <w:t>Connaissances fondamentales.</w:t>
            </w:r>
          </w:p>
        </w:tc>
      </w:tr>
      <w:tr>
        <w:tc>
          <w:tcPr>
            <w:tcW w:type="dxa" w:w="2438"/>
            <w:vAlign w:val="center"/>
            <w:shd w:fill="F3F6FA"/>
          </w:tcPr>
          <w:p>
            <w:pPr>
              <w:spacing w:after="0"/>
            </w:pPr>
            <w:r/>
            <w:r>
              <w:rPr>
                <w:rFonts w:ascii="Arial" w:hAnsi="Arial"/>
                <w:b w:val="0"/>
                <w:sz w:val="16"/>
              </w:rPr>
              <w:t>Culture</w:t>
            </w:r>
          </w:p>
        </w:tc>
        <w:tc>
          <w:tcPr>
            <w:tcW w:type="dxa" w:w="7257"/>
            <w:vAlign w:val="center"/>
            <w:shd w:fill="F3F6FA"/>
          </w:tcPr>
          <w:p>
            <w:pPr>
              <w:spacing w:after="0"/>
            </w:pPr>
            <w:r/>
            <w:r>
              <w:rPr>
                <w:rFonts w:ascii="Arial" w:hAnsi="Arial"/>
                <w:b w:val="0"/>
                <w:sz w:val="16"/>
              </w:rPr>
              <w:t>Histoire, terminologie, sécurité et structure du système.</w:t>
            </w:r>
          </w:p>
        </w:tc>
      </w:tr>
    </w:tbl>
    <w:p>
      <w:pPr>
        <w:spacing w:after="20"/>
      </w:pP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6803"/>
            <w:vAlign w:val="center"/>
            <w:shd w:fill="17365D"/>
          </w:tcPr>
          <w:p>
            <w:pPr>
              <w:spacing w:after="0"/>
            </w:pPr>
            <w:r/>
            <w:r>
              <w:rPr>
                <w:rFonts w:ascii="Arial" w:hAnsi="Arial"/>
                <w:b/>
                <w:color w:val="FFFFFF"/>
                <w:sz w:val="16"/>
              </w:rPr>
              <w:t>Épreuve</w:t>
            </w:r>
          </w:p>
        </w:tc>
        <w:tc>
          <w:tcPr>
            <w:tcW w:type="dxa" w:w="2268"/>
            <w:vAlign w:val="center"/>
            <w:shd w:fill="17365D"/>
          </w:tcPr>
          <w:p>
            <w:pPr>
              <w:spacing w:after="0"/>
            </w:pPr>
            <w:r/>
            <w:r>
              <w:rPr>
                <w:rFonts w:ascii="Arial" w:hAnsi="Arial"/>
                <w:b/>
                <w:color w:val="FFFFFF"/>
                <w:sz w:val="16"/>
              </w:rPr>
              <w:t>Points</w:t>
            </w:r>
          </w:p>
        </w:tc>
      </w:tr>
      <w:tr>
        <w:tc>
          <w:tcPr>
            <w:tcW w:type="dxa" w:w="6803"/>
            <w:vAlign w:val="center"/>
          </w:tcPr>
          <w:p>
            <w:pPr>
              <w:spacing w:after="0"/>
            </w:pPr>
            <w:r/>
            <w:r>
              <w:rPr>
                <w:rFonts w:ascii="Arial" w:hAnsi="Arial"/>
                <w:b w:val="0"/>
                <w:sz w:val="16"/>
              </w:rPr>
              <w:t>UV1 — Bando</w:t>
            </w:r>
          </w:p>
        </w:tc>
        <w:tc>
          <w:tcPr>
            <w:tcW w:type="dxa" w:w="2268"/>
            <w:vAlign w:val="center"/>
          </w:tcPr>
          <w:p>
            <w:pPr>
              <w:spacing w:after="0"/>
            </w:pPr>
            <w:r/>
            <w:r>
              <w:rPr>
                <w:rFonts w:ascii="Arial" w:hAnsi="Arial"/>
                <w:b w:val="0"/>
                <w:sz w:val="16"/>
              </w:rPr>
              <w:t>20</w:t>
            </w:r>
          </w:p>
        </w:tc>
      </w:tr>
      <w:tr>
        <w:tc>
          <w:tcPr>
            <w:tcW w:type="dxa" w:w="6803"/>
            <w:vAlign w:val="center"/>
            <w:shd w:fill="F3F6FA"/>
          </w:tcPr>
          <w:p>
            <w:pPr>
              <w:spacing w:after="0"/>
            </w:pPr>
            <w:r/>
            <w:r>
              <w:rPr>
                <w:rFonts w:ascii="Arial" w:hAnsi="Arial"/>
                <w:b w:val="0"/>
                <w:sz w:val="16"/>
              </w:rPr>
              <w:t>UV2 — Formes</w:t>
            </w:r>
          </w:p>
        </w:tc>
        <w:tc>
          <w:tcPr>
            <w:tcW w:type="dxa" w:w="2268"/>
            <w:vAlign w:val="center"/>
            <w:shd w:fill="F3F6FA"/>
          </w:tcPr>
          <w:p>
            <w:pPr>
              <w:spacing w:after="0"/>
            </w:pPr>
            <w:r/>
            <w:r>
              <w:rPr>
                <w:rFonts w:ascii="Arial" w:hAnsi="Arial"/>
                <w:b w:val="0"/>
                <w:sz w:val="16"/>
              </w:rPr>
              <w:t>15</w:t>
            </w:r>
          </w:p>
        </w:tc>
      </w:tr>
      <w:tr>
        <w:tc>
          <w:tcPr>
            <w:tcW w:type="dxa" w:w="6803"/>
            <w:vAlign w:val="center"/>
          </w:tcPr>
          <w:p>
            <w:pPr>
              <w:spacing w:after="0"/>
            </w:pPr>
            <w:r/>
            <w:r>
              <w:rPr>
                <w:rFonts w:ascii="Arial" w:hAnsi="Arial"/>
                <w:b w:val="0"/>
                <w:sz w:val="16"/>
              </w:rPr>
              <w:t>UV3 — Banshay</w:t>
            </w:r>
          </w:p>
        </w:tc>
        <w:tc>
          <w:tcPr>
            <w:tcW w:type="dxa" w:w="2268"/>
            <w:vAlign w:val="center"/>
          </w:tcPr>
          <w:p>
            <w:pPr>
              <w:spacing w:after="0"/>
            </w:pPr>
            <w:r/>
            <w:r>
              <w:rPr>
                <w:rFonts w:ascii="Arial" w:hAnsi="Arial"/>
                <w:b w:val="0"/>
                <w:sz w:val="16"/>
              </w:rPr>
              <w:t>15</w:t>
            </w:r>
          </w:p>
        </w:tc>
      </w:tr>
      <w:tr>
        <w:tc>
          <w:tcPr>
            <w:tcW w:type="dxa" w:w="6803"/>
            <w:vAlign w:val="center"/>
            <w:shd w:fill="F3F6FA"/>
          </w:tcPr>
          <w:p>
            <w:pPr>
              <w:spacing w:after="0"/>
            </w:pPr>
            <w:r/>
            <w:r>
              <w:rPr>
                <w:rFonts w:ascii="Arial" w:hAnsi="Arial"/>
                <w:b w:val="0"/>
                <w:sz w:val="16"/>
              </w:rPr>
              <w:t>UV4 — Naban</w:t>
            </w:r>
          </w:p>
        </w:tc>
        <w:tc>
          <w:tcPr>
            <w:tcW w:type="dxa" w:w="2268"/>
            <w:vAlign w:val="center"/>
            <w:shd w:fill="F3F6FA"/>
          </w:tcPr>
          <w:p>
            <w:pPr>
              <w:spacing w:after="0"/>
            </w:pPr>
            <w:r/>
            <w:r>
              <w:rPr>
                <w:rFonts w:ascii="Arial" w:hAnsi="Arial"/>
                <w:b w:val="0"/>
                <w:sz w:val="16"/>
              </w:rPr>
              <w:t>15</w:t>
            </w:r>
          </w:p>
        </w:tc>
      </w:tr>
      <w:tr>
        <w:tc>
          <w:tcPr>
            <w:tcW w:type="dxa" w:w="6803"/>
            <w:vAlign w:val="center"/>
          </w:tcPr>
          <w:p>
            <w:pPr>
              <w:spacing w:after="0"/>
            </w:pPr>
            <w:r/>
            <w:r>
              <w:rPr>
                <w:rFonts w:ascii="Arial" w:hAnsi="Arial"/>
                <w:b w:val="0"/>
                <w:sz w:val="16"/>
              </w:rPr>
              <w:t>UV5 — Lethwei</w:t>
            </w:r>
          </w:p>
        </w:tc>
        <w:tc>
          <w:tcPr>
            <w:tcW w:type="dxa" w:w="2268"/>
            <w:vAlign w:val="center"/>
          </w:tcPr>
          <w:p>
            <w:pPr>
              <w:spacing w:after="0"/>
            </w:pPr>
            <w:r/>
            <w:r>
              <w:rPr>
                <w:rFonts w:ascii="Arial" w:hAnsi="Arial"/>
                <w:b w:val="0"/>
                <w:sz w:val="16"/>
              </w:rPr>
              <w:t>15</w:t>
            </w:r>
          </w:p>
        </w:tc>
      </w:tr>
      <w:tr>
        <w:tc>
          <w:tcPr>
            <w:tcW w:type="dxa" w:w="6803"/>
            <w:vAlign w:val="center"/>
            <w:shd w:fill="F3F6FA"/>
          </w:tcPr>
          <w:p>
            <w:pPr>
              <w:spacing w:after="0"/>
            </w:pPr>
            <w:r/>
            <w:r>
              <w:rPr>
                <w:rFonts w:ascii="Arial" w:hAnsi="Arial"/>
                <w:b w:val="0"/>
                <w:sz w:val="16"/>
              </w:rPr>
              <w:t>UV6 — Min Zin / Monk</w:t>
            </w:r>
          </w:p>
        </w:tc>
        <w:tc>
          <w:tcPr>
            <w:tcW w:type="dxa" w:w="2268"/>
            <w:vAlign w:val="center"/>
            <w:shd w:fill="F3F6FA"/>
          </w:tcPr>
          <w:p>
            <w:pPr>
              <w:spacing w:after="0"/>
            </w:pPr>
            <w:r/>
            <w:r>
              <w:rPr>
                <w:rFonts w:ascii="Arial" w:hAnsi="Arial"/>
                <w:b w:val="0"/>
                <w:sz w:val="16"/>
              </w:rPr>
              <w:t>10</w:t>
            </w:r>
          </w:p>
        </w:tc>
      </w:tr>
      <w:tr>
        <w:tc>
          <w:tcPr>
            <w:tcW w:type="dxa" w:w="6803"/>
            <w:vAlign w:val="center"/>
          </w:tcPr>
          <w:p>
            <w:pPr>
              <w:spacing w:after="0"/>
            </w:pPr>
            <w:r/>
            <w:r>
              <w:rPr>
                <w:rFonts w:ascii="Arial" w:hAnsi="Arial"/>
                <w:b w:val="0"/>
                <w:sz w:val="16"/>
              </w:rPr>
              <w:t>UV7 — Pédagogie / arbitrage</w:t>
            </w:r>
          </w:p>
        </w:tc>
        <w:tc>
          <w:tcPr>
            <w:tcW w:type="dxa" w:w="2268"/>
            <w:vAlign w:val="center"/>
          </w:tcPr>
          <w:p>
            <w:pPr>
              <w:spacing w:after="0"/>
            </w:pPr>
            <w:r/>
            <w:r>
              <w:rPr>
                <w:rFonts w:ascii="Arial" w:hAnsi="Arial"/>
                <w:b w:val="0"/>
                <w:sz w:val="16"/>
              </w:rPr>
              <w:t>5</w:t>
            </w:r>
          </w:p>
        </w:tc>
      </w:tr>
      <w:tr>
        <w:tc>
          <w:tcPr>
            <w:tcW w:type="dxa" w:w="6803"/>
            <w:vAlign w:val="center"/>
            <w:shd w:fill="F3F6FA"/>
          </w:tcPr>
          <w:p>
            <w:pPr>
              <w:spacing w:after="0"/>
            </w:pPr>
            <w:r/>
            <w:r>
              <w:rPr>
                <w:rFonts w:ascii="Arial" w:hAnsi="Arial"/>
                <w:b w:val="0"/>
                <w:sz w:val="16"/>
              </w:rPr>
              <w:t>UV8 — Culture / terminologie</w:t>
            </w:r>
          </w:p>
        </w:tc>
        <w:tc>
          <w:tcPr>
            <w:tcW w:type="dxa" w:w="2268"/>
            <w:vAlign w:val="center"/>
            <w:shd w:fill="F3F6FA"/>
          </w:tcPr>
          <w:p>
            <w:pPr>
              <w:spacing w:after="0"/>
            </w:pPr>
            <w:r/>
            <w:r>
              <w:rPr>
                <w:rFonts w:ascii="Arial" w:hAnsi="Arial"/>
                <w:b w:val="0"/>
                <w:sz w:val="16"/>
              </w:rPr>
              <w:t>5</w:t>
            </w:r>
          </w:p>
        </w:tc>
      </w:tr>
    </w:tbl>
    <w:p>
      <w:pPr>
        <w:spacing w:after="20"/>
      </w:pPr>
    </w:p>
    <w:p>
      <w:r>
        <w:rPr>
          <w:b/>
          <w:color w:val="C00000"/>
        </w:rPr>
        <w:t>Seuil de validation : 70/100.</w:t>
      </w:r>
      <w:r>
        <w:t xml:space="preserve"> En outre, le candidat doit obtenir au moins 50 % des points dans chacune des UV1 à UV6.</w:t>
      </w:r>
    </w:p>
    <w:p>
      <w:r>
        <w:br w:type="page"/>
      </w:r>
    </w:p>
    <w:p>
      <w:pPr>
        <w:pStyle w:val="Heading1"/>
      </w:pPr>
      <w:r>
        <w:t>TITRE V — ORGANISATION DES ÉPREUVES ET DU JURY</w:t>
      </w:r>
    </w:p>
    <w:p>
      <w:pPr>
        <w:pStyle w:val="Article"/>
      </w:pPr>
      <w:r>
        <w:t>Article 10 — Nature des épreuves</w:t>
      </w:r>
    </w:p>
    <w:p>
      <w:pPr>
        <w:keepLines/>
      </w:pPr>
      <w:r>
        <w:t>Selon le grade, l’examen comporte tout ou partie des unités suivantes : UV1 Bando ; UV2 Formes ; UV3 Banshay ; UV4 Naban ; UV5 Lethwei ; UV6 Min Zin / Monk System ; UV7 Applications, pédagogie ou arbitrage ; UV8 Culture et terminologie.</w:t>
      </w:r>
    </w:p>
    <w:p>
      <w:pPr>
        <w:pStyle w:val="Article"/>
      </w:pPr>
      <w:r>
        <w:t>Article 11 — Tirage au sort</w:t>
      </w:r>
    </w:p>
    <w:p>
      <w:pPr>
        <w:keepLines/>
      </w:pPr>
      <w:r>
        <w:t>À partir du niveau vert, certaines techniques peuvent être tirées au sort dans le programme cumulatif. À partir du niveau bleu, le jury peut imposer une forme précédemment acquise.</w:t>
      </w:r>
    </w:p>
    <w:p>
      <w:pPr>
        <w:pStyle w:val="Article"/>
      </w:pPr>
      <w:r>
        <w:t>Article 12 — Principe du jury</w:t>
      </w:r>
    </w:p>
    <w:p>
      <w:pPr>
        <w:keepLines/>
      </w:pPr>
      <w:r>
        <w:t>Tout passage de grade officiel est placé sous la responsabilité d’un jury habilité par l’UFLB.</w:t>
      </w:r>
    </w:p>
    <w:p>
      <w:pPr>
        <w:pStyle w:val="Article"/>
      </w:pPr>
      <w:r>
        <w:t>Article 13 — Composition</w:t>
      </w:r>
    </w:p>
    <w:p>
      <w:pPr>
        <w:keepLines/>
      </w:pPr>
      <w:r>
        <w:t>Pour les ceintures de couleur, un jury fédéral comprend au minimum deux évaluateurs. Pour la ceinture noire, il comprend au minimum trois membres. Un président de jury est désigné.</w:t>
      </w:r>
    </w:p>
    <w:p>
      <w:pPr>
        <w:pStyle w:val="Article"/>
      </w:pPr>
      <w:r>
        <w:t>Article 14 — Qualification</w:t>
      </w:r>
    </w:p>
    <w:p>
      <w:pPr>
        <w:keepLines/>
      </w:pPr>
      <w:r>
        <w:t>Les évaluateurs doivent posséder un niveau technique et une habilitation compatibles avec le grade évalué. Pour la ceinture noire, le président du jury doit posséder un grade supérieur ou une qualification technique reconnue par l’UFLB.</w:t>
      </w:r>
    </w:p>
    <w:p>
      <w:pPr>
        <w:pStyle w:val="Article"/>
      </w:pPr>
      <w:r>
        <w:t>Article 15 — Impartialité</w:t>
      </w:r>
    </w:p>
    <w:p>
      <w:pPr>
        <w:keepLines/>
      </w:pPr>
      <w:r>
        <w:t>Les membres du jury évaluent exclusivement les prestations présentées. Lorsque cela est matériellement possible, la composition du jury évite qu’un candidat soit évalué exclusivement par son propre enseignant.</w:t>
      </w:r>
    </w:p>
    <w:p>
      <w:pPr>
        <w:pStyle w:val="Article"/>
      </w:pPr>
      <w:r>
        <w:t>Article 16 — Délibération</w:t>
      </w:r>
    </w:p>
    <w:p>
      <w:pPr>
        <w:keepLines/>
      </w:pPr>
      <w:r>
        <w:t>Les délibérations sont confidentielles. Le président recueille les fiches, contrôle les calculs, organise la délibération et arrête la décision conformément au présent règlement.</w:t>
      </w:r>
    </w:p>
    <w:p>
      <w:r>
        <w:br w:type="page"/>
      </w:r>
    </w:p>
    <w:p>
      <w:pPr>
        <w:pStyle w:val="Heading1"/>
      </w:pPr>
      <w:r>
        <w:t>TITRE VI — RÈGLES DE SÉCURITÉ</w:t>
      </w:r>
    </w:p>
    <w:p>
      <w:pPr>
        <w:pStyle w:val="Article"/>
      </w:pPr>
      <w:r>
        <w:t>Article 17 — Principe supérieur</w:t>
      </w:r>
    </w:p>
    <w:p>
      <w:pPr>
        <w:keepLines/>
      </w:pPr>
      <w:r>
        <w:t>La sécurité prévaut sur toute exigence technique ou sportive. Aucun candidat ne peut être pénalisé pour avoir interrompu une action afin d’éviter une blessure.</w:t>
      </w:r>
    </w:p>
    <w:p>
      <w:pPr>
        <w:pStyle w:val="Article"/>
      </w:pPr>
      <w:r>
        <w:t>Article 18 — Contrôle</w:t>
      </w:r>
    </w:p>
    <w:p>
      <w:pPr>
        <w:keepLines/>
      </w:pPr>
      <w:r>
        <w:t>Toutes les techniques sont réalisées avec un niveau de contrôle adapté à l’exercice, à l’âge et au grade. Le jury peut interrompre immédiatement une séquence dangereuse.</w:t>
      </w:r>
    </w:p>
    <w:p>
      <w:pPr>
        <w:pStyle w:val="Article"/>
      </w:pPr>
      <w:r>
        <w:t>Article 19 — Assauts</w:t>
      </w:r>
    </w:p>
    <w:p>
      <w:pPr>
        <w:keepLines/>
      </w:pPr>
      <w:r>
        <w:t>Les assauts de passage de grade sont des épreuves techniques et non des combats destinés à déterminer un vainqueur. La puissance, le contact et les techniques autorisées sont adaptés au niveau. Les protections prescrites pour la session sont obligatoires.</w:t>
      </w:r>
    </w:p>
    <w:p>
      <w:pPr>
        <w:pStyle w:val="Article"/>
      </w:pPr>
      <w:r>
        <w:t>Article 20 — Naban</w:t>
      </w:r>
    </w:p>
    <w:p>
      <w:pPr>
        <w:keepLines/>
      </w:pPr>
      <w:r>
        <w:t>Les clés et étranglements sont réalisés progressivement. Le partenaire doit pouvoir manifester immédiatement son abandon. À tout signal d’abandon, la technique est relâchée sans délai.</w:t>
      </w:r>
    </w:p>
    <w:p>
      <w:pPr>
        <w:pStyle w:val="Article"/>
      </w:pPr>
      <w:r>
        <w:t>Article 21 — Banshay</w:t>
      </w:r>
    </w:p>
    <w:p>
      <w:pPr>
        <w:keepLines/>
      </w:pPr>
      <w:r>
        <w:t>Les passages de grades utilisent des armes d’entraînement ou des équipements neutralisés correspondant à l’épreuve. Aucune application avec partenaire n’est réalisée avec une lame affûtée.</w:t>
      </w:r>
    </w:p>
    <w:p>
      <w:pPr>
        <w:pStyle w:val="Article"/>
      </w:pPr>
      <w:r>
        <w:t>Article 22 — Kukri et poignard</w:t>
      </w:r>
    </w:p>
    <w:p>
      <w:pPr>
        <w:keepLines/>
      </w:pPr>
      <w:r>
        <w:t>Les dégainages, coupes et défenses sont exécutés selon le protocole de sécurité de la commission technique. Les applications avec partenaire sont réalisées exclusivement avec du matériel sécurisé.</w:t>
      </w:r>
    </w:p>
    <w:p>
      <w:pPr>
        <w:pStyle w:val="Article"/>
      </w:pPr>
      <w:r>
        <w:t>Article 23 — Pouvoir d’arrêt</w:t>
      </w:r>
    </w:p>
    <w:p>
      <w:pPr>
        <w:keepLines/>
      </w:pPr>
      <w:r>
        <w:t>Le président du jury peut suspendre ou arrêter une épreuve en cas de comportement dangereux, fatigue anormale, blessure, malaise ou toute situation rendant la poursuite manifestement inappropriée.</w:t>
      </w:r>
    </w:p>
    <w:p>
      <w:pPr>
        <w:pStyle w:val="Heading1"/>
      </w:pPr>
      <w:r>
        <w:t>TITRE VII — NOTATION ET VALIDATION</w:t>
      </w:r>
    </w:p>
    <w:p>
      <w:pPr>
        <w:pStyle w:val="Article"/>
      </w:pPr>
      <w:r>
        <w:t>Article 24 — Critères communs</w:t>
      </w:r>
    </w:p>
    <w:p>
      <w:pPr>
        <w:keepLines/>
      </w:pPr>
      <w:r>
        <w:t>Le jury apprécie notamment : exactitude technique, posture, équilibre, coordination, trajectoire, distance, rythme, fluidité, contrôle et sécurité. À partir de la marron s’ajoutent la compréhension et l’explication ; à partir de la noire, l’adaptation, la pédagogie et la transmission.</w:t>
      </w:r>
    </w:p>
    <w:p>
      <w:pPr>
        <w:pStyle w:val="Article"/>
      </w:pPr>
      <w:r>
        <w:t>Article 25 — Décisions possibles</w:t>
      </w:r>
    </w:p>
    <w:p>
      <w:pPr>
        <w:keepLines/>
      </w:pPr>
      <w:r>
        <w:t>Après délibération, trois décisions sont possibles : ADMIS ; AJOURNÉ AVEC UV À REPRÉSENTER ; AJOURNÉ.</w:t>
      </w:r>
    </w:p>
    <w:p>
      <w:pPr>
        <w:pStyle w:val="Article"/>
      </w:pPr>
      <w:r>
        <w:t>Article 26 — Faute technique</w:t>
      </w:r>
    </w:p>
    <w:p>
      <w:pPr>
        <w:keepLines/>
      </w:pPr>
      <w:r>
        <w:t>Une erreur, un oubli ou une mauvaise exécution constitue une insuffisance technique et entraîne normalement une diminution de la note. Elle n’est pas, par elle-même, éliminatoire.</w:t>
      </w:r>
    </w:p>
    <w:p>
      <w:pPr>
        <w:pStyle w:val="Article"/>
      </w:pPr>
      <w:r>
        <w:t>Article 27 — Faute de sécurité</w:t>
      </w:r>
    </w:p>
    <w:p>
      <w:pPr>
        <w:keepLines/>
      </w:pPr>
      <w:r>
        <w:t>Peuvent justifier l’arrêt de l’épreuve ou la non-validation : mise en danger délibérée du partenaire, absence manifeste et répétée de contrôle, non-respect d’un signal d’abandon, utilisation dangereuse d’une arme, refus d’une consigne de sécurité ou comportement gravement antisportif. La décision est portée au procès-verbal.</w:t>
      </w:r>
    </w:p>
    <w:p>
      <w:r>
        <w:br w:type="page"/>
      </w:r>
    </w:p>
    <w:p>
      <w:pPr>
        <w:pStyle w:val="Heading1"/>
      </w:pPr>
      <w:r>
        <w:t>TITRE VIII — RATTRAPAGE</w:t>
      </w:r>
    </w:p>
    <w:p>
      <w:pPr>
        <w:pStyle w:val="Article"/>
      </w:pPr>
      <w:r>
        <w:t>Article 28 — Principe</w:t>
      </w:r>
    </w:p>
    <w:p>
      <w:pPr>
        <w:keepLines/>
      </w:pPr>
      <w:r>
        <w:t>Le rattrapage permet au candidat ayant démontré un niveau global satisfaisant de représenter une partie insuffisamment maîtrisée sans nécessairement recommencer l’intégralité du passage.</w:t>
      </w:r>
    </w:p>
    <w:p>
      <w:pPr>
        <w:pStyle w:val="Article"/>
      </w:pPr>
      <w:r>
        <w:t>Article 29 — Grades de couleur</w:t>
      </w:r>
    </w:p>
    <w:p>
      <w:pPr>
        <w:keepLines/>
      </w:pPr>
      <w:r>
        <w:t>Lorsqu’une ou deux unités seulement sont insuffisantes mais que le niveau général est jugé satisfaisant, le jury peut prononcer AJOURNÉ AVEC UV À REPRÉSENTER.</w:t>
      </w:r>
    </w:p>
    <w:p>
      <w:pPr>
        <w:pStyle w:val="Article"/>
      </w:pPr>
      <w:r>
        <w:t>Article 30 — Conservation des UV</w:t>
      </w:r>
    </w:p>
    <w:p>
      <w:pPr>
        <w:keepLines/>
      </w:pPr>
      <w:r>
        <w:t>Les unités validées sont conservées pendant douze mois à compter de la date de la session. Passé ce délai, l’examen complet doit être représenté.</w:t>
      </w:r>
    </w:p>
    <w:p>
      <w:pPr>
        <w:pStyle w:val="Article"/>
      </w:pPr>
      <w:r>
        <w:t>Article 31 — Ceinture noire</w:t>
      </w:r>
    </w:p>
    <w:p>
      <w:pPr>
        <w:keepLines/>
      </w:pPr>
      <w:r>
        <w:t>Une UV1 à UV6 obtenant moins de 50 % doit être représentée. Un candidat ayant atteint 70/100 mais échouant sur une seule UV fondamentale peut conserver pendant douze mois les autres UV validées.</w:t>
      </w:r>
    </w:p>
    <w:p>
      <w:pPr>
        <w:pStyle w:val="Article"/>
      </w:pPr>
      <w:r>
        <w:t>Article 32 — Sécurité</w:t>
      </w:r>
    </w:p>
    <w:p>
      <w:pPr>
        <w:keepLines/>
      </w:pPr>
      <w:r>
        <w:t>Une non-validation motivée par un comportement dangereux grave ne donne pas droit à un rattrapage immédiat. Une nouvelle période de préparation est exigée.</w:t>
      </w:r>
    </w:p>
    <w:p>
      <w:pPr>
        <w:pStyle w:val="Heading1"/>
      </w:pPr>
      <w:r>
        <w:t>TITRE IX — PROCÉDURE DE VALIDATION ET HOMOLOGATION</w:t>
      </w:r>
    </w:p>
    <w:p>
      <w:pPr>
        <w:pStyle w:val="Article"/>
      </w:pPr>
      <w:r>
        <w:t>Article 33 — Calcul et contrôle</w:t>
      </w:r>
    </w:p>
    <w:p>
      <w:pPr>
        <w:keepLines/>
      </w:pPr>
      <w:r>
        <w:t>À la fin de l’examen, les notes sont reportées sur la fiche officielle. Le président du jury vérifie le calcul et l’application des seuils particuliers.</w:t>
      </w:r>
    </w:p>
    <w:p>
      <w:pPr>
        <w:pStyle w:val="Article"/>
      </w:pPr>
      <w:r>
        <w:t>Article 34 — Information du candidat</w:t>
      </w:r>
    </w:p>
    <w:p>
      <w:pPr>
        <w:keepLines/>
      </w:pPr>
      <w:r>
        <w:t>Le résultat est communiqué après délibération. En cas d’ajournement, les domaines nécessitant un travail complémentaire sont indiqués au candidat.</w:t>
      </w:r>
    </w:p>
    <w:p>
      <w:pPr>
        <w:pStyle w:val="Article"/>
      </w:pPr>
      <w:r>
        <w:t>Article 35 — Procès-verbal</w:t>
      </w:r>
    </w:p>
    <w:p>
      <w:pPr>
        <w:keepLines/>
      </w:pPr>
      <w:r>
        <w:t>Chaque session donne lieu à un procès-verbal comprenant au minimum : identité des candidats, référence fédérale ou licence, grade présenté, résultats, décision, date et lieu, identité des membres du jury et signature du président.</w:t>
      </w:r>
    </w:p>
    <w:p>
      <w:pPr>
        <w:pStyle w:val="Article"/>
      </w:pPr>
      <w:r>
        <w:t>Article 36 — Homologation interne</w:t>
      </w:r>
    </w:p>
    <w:p>
      <w:pPr>
        <w:keepLines/>
      </w:pPr>
      <w:r>
        <w:t>Le grade est enregistré comme grade technique UFLB après réception et contrôle du procès-verbal par l’instance fédérale chargée des grades.</w:t>
      </w:r>
    </w:p>
    <w:p>
      <w:pPr>
        <w:pStyle w:val="Article"/>
      </w:pPr>
      <w:r>
        <w:t>Article 37 — Registre national</w:t>
      </w:r>
    </w:p>
    <w:p>
      <w:pPr>
        <w:keepLines/>
      </w:pPr>
      <w:r>
        <w:t>L’UFLB tient un registre des grades techniques. Chaque grade homologué reçoit une référence permettant sa traçabilité.</w:t>
      </w:r>
    </w:p>
    <w:p>
      <w:pPr>
        <w:pStyle w:val="Article"/>
      </w:pPr>
      <w:r>
        <w:t>Article 38 — Diplôme</w:t>
      </w:r>
    </w:p>
    <w:p>
      <w:pPr>
        <w:keepLines/>
      </w:pPr>
      <w:r>
        <w:t>Le diplôme peut comporter : nom et prénom, grade, cursus, date d’obtention, numéro d’enregistrement, signatures des responsables habilités et cachet fédéral.</w:t>
      </w:r>
    </w:p>
    <w:p>
      <w:pPr>
        <w:pStyle w:val="Article"/>
      </w:pPr>
      <w:r>
        <w:t>Article 39 — Réclamation matérielle</w:t>
      </w:r>
    </w:p>
    <w:p>
      <w:pPr>
        <w:keepLines/>
      </w:pPr>
      <w:r>
        <w:t>Une demande de rectification peut porter sur une erreur d’identité, de calcul, de transcription ou d’enregistrement.</w:t>
      </w:r>
    </w:p>
    <w:p>
      <w:pPr>
        <w:pStyle w:val="Article"/>
      </w:pPr>
      <w:r>
        <w:t>Article 40 — Réexamen de procédure</w:t>
      </w:r>
    </w:p>
    <w:p>
      <w:pPr>
        <w:keepLines/>
      </w:pPr>
      <w:r>
        <w:t>Une contestation interne peut porter sur le respect du règlement et de la procédure. Elle ne constitue pas un second examen de la prestation technique.</w:t>
      </w:r>
    </w:p>
    <w:p>
      <w:pPr>
        <w:pStyle w:val="Heading1"/>
      </w:pPr>
      <w:r>
        <w:t>TITRE X — DISPOSITIONS FINALES</w:t>
      </w:r>
    </w:p>
    <w:p>
      <w:pPr>
        <w:pStyle w:val="Article"/>
      </w:pPr>
      <w:r>
        <w:t>Article 41 — Commission technique</w:t>
      </w:r>
    </w:p>
    <w:p>
      <w:pPr>
        <w:keepLines/>
      </w:pPr>
      <w:r>
        <w:t>La Commission fédérale des grades et de la progression technique maintient le référentiel, précise la nomenclature, valide les formes, forme les jurys, établit les fiches d’examen et propose les évolutions.</w:t>
      </w:r>
    </w:p>
    <w:p>
      <w:pPr>
        <w:pStyle w:val="Article"/>
      </w:pPr>
      <w:r>
        <w:t>Article 42 — Terminologie</w:t>
      </w:r>
    </w:p>
    <w:p>
      <w:pPr>
        <w:keepLines/>
      </w:pPr>
      <w:r>
        <w:t>Lorsqu’une appellation traditionnelle est suffisamment établie, elle est conservée avec son explication française. Une traduction incertaine n’est pas présentée comme définitive avant validation documentaire.</w:t>
      </w:r>
    </w:p>
    <w:p>
      <w:pPr>
        <w:pStyle w:val="Article"/>
      </w:pPr>
      <w:r>
        <w:t>Article 43 — Modification</w:t>
      </w:r>
    </w:p>
    <w:p>
      <w:pPr>
        <w:keepLines/>
      </w:pPr>
      <w:r>
        <w:t>Toute modification substantielle du programme ou des critères de validation est approuvée par l’organe fédéral compétent. Chaque nouvelle version est datée.</w:t>
      </w:r>
    </w:p>
    <w:p>
      <w:pPr>
        <w:pStyle w:val="Article"/>
      </w:pPr>
      <w:r>
        <w:t>Article 44 — Entrée en vigueur</w:t>
      </w:r>
    </w:p>
    <w:p>
      <w:pPr>
        <w:keepLines/>
      </w:pPr>
      <w:r>
        <w:t>La présente annexe entre en vigueur à compter de son adoption par l’organe compétent de l’UFLB. Elle remplace, pour les passages organisés après cette date, les anciennes fiches internes incompatibles avec ses dispositions.</w:t>
      </w:r>
    </w:p>
    <w:p>
      <w:r>
        <w:br w:type="page"/>
      </w:r>
    </w:p>
    <w:p>
      <w:pPr>
        <w:pStyle w:val="Heading1"/>
      </w:pPr>
      <w:r>
        <w:t>GRILLE FÉDÉRALE RÉCAPITULATIVE</w:t>
      </w:r>
    </w:p>
    <w:tbl>
      <w:tblPr>
        <w:tblStyle w:val="TableGrid"/>
        <w:tblW w:type="auto" w:w="0"/>
        <w:jc w:val="center"/>
        <w:tblLook w:firstColumn="1" w:firstRow="1" w:lastColumn="0" w:lastRow="0" w:noHBand="0" w:noVBand="1" w:val="04A0"/>
      </w:tblPr>
      <w:tblGrid>
        <w:gridCol w:w="1719"/>
        <w:gridCol w:w="1719"/>
        <w:gridCol w:w="1719"/>
        <w:gridCol w:w="1719"/>
        <w:gridCol w:w="1719"/>
        <w:gridCol w:w="1719"/>
      </w:tblGrid>
      <w:tr>
        <w:trPr>
          <w:tblHeader w:val="true"/>
        </w:trPr>
        <w:tc>
          <w:tcPr>
            <w:tcW w:type="dxa" w:w="1701"/>
            <w:vAlign w:val="center"/>
            <w:shd w:fill="17365D"/>
          </w:tcPr>
          <w:p>
            <w:pPr>
              <w:spacing w:after="0"/>
            </w:pPr>
            <w:r/>
            <w:r>
              <w:rPr>
                <w:rFonts w:ascii="Arial" w:hAnsi="Arial"/>
                <w:b/>
                <w:color w:val="FFFFFF"/>
                <w:sz w:val="16"/>
              </w:rPr>
              <w:t>Grade</w:t>
            </w:r>
          </w:p>
        </w:tc>
        <w:tc>
          <w:tcPr>
            <w:tcW w:type="dxa" w:w="1814"/>
            <w:vAlign w:val="center"/>
            <w:shd w:fill="17365D"/>
          </w:tcPr>
          <w:p>
            <w:pPr>
              <w:spacing w:after="0"/>
            </w:pPr>
            <w:r/>
            <w:r>
              <w:rPr>
                <w:rFonts w:ascii="Arial" w:hAnsi="Arial"/>
                <w:b/>
                <w:color w:val="FFFFFF"/>
                <w:sz w:val="16"/>
              </w:rPr>
              <w:t>Forme</w:t>
            </w:r>
          </w:p>
        </w:tc>
        <w:tc>
          <w:tcPr>
            <w:tcW w:type="dxa" w:w="3118"/>
            <w:vAlign w:val="center"/>
            <w:shd w:fill="17365D"/>
          </w:tcPr>
          <w:p>
            <w:pPr>
              <w:spacing w:after="0"/>
            </w:pPr>
            <w:r/>
            <w:r>
              <w:rPr>
                <w:rFonts w:ascii="Arial" w:hAnsi="Arial"/>
                <w:b/>
                <w:color w:val="FFFFFF"/>
                <w:sz w:val="16"/>
              </w:rPr>
              <w:t>Banshay / armes</w:t>
            </w:r>
          </w:p>
        </w:tc>
        <w:tc>
          <w:tcPr>
            <w:tcW w:type="dxa" w:w="3118"/>
            <w:vAlign w:val="center"/>
            <w:shd w:fill="17365D"/>
          </w:tcPr>
          <w:p>
            <w:pPr>
              <w:spacing w:after="0"/>
            </w:pPr>
            <w:r/>
            <w:r>
              <w:rPr>
                <w:rFonts w:ascii="Arial" w:hAnsi="Arial"/>
                <w:b/>
                <w:color w:val="FFFFFF"/>
                <w:sz w:val="16"/>
              </w:rPr>
              <w:t>Naban</w:t>
            </w:r>
          </w:p>
        </w:tc>
        <w:tc>
          <w:tcPr>
            <w:tcW w:type="dxa" w:w="2551"/>
            <w:vAlign w:val="center"/>
            <w:shd w:fill="17365D"/>
          </w:tcPr>
          <w:p>
            <w:pPr>
              <w:spacing w:after="0"/>
            </w:pPr>
            <w:r/>
            <w:r>
              <w:rPr>
                <w:rFonts w:ascii="Arial" w:hAnsi="Arial"/>
                <w:b/>
                <w:color w:val="FFFFFF"/>
                <w:sz w:val="16"/>
              </w:rPr>
              <w:t>Lethwei</w:t>
            </w:r>
          </w:p>
        </w:tc>
        <w:tc>
          <w:tcPr>
            <w:tcW w:type="dxa" w:w="1417"/>
            <w:vAlign w:val="center"/>
            <w:shd w:fill="17365D"/>
          </w:tcPr>
          <w:p>
            <w:pPr>
              <w:spacing w:after="0"/>
            </w:pPr>
            <w:r/>
            <w:r>
              <w:rPr>
                <w:rFonts w:ascii="Arial" w:hAnsi="Arial"/>
                <w:b/>
                <w:color w:val="FFFFFF"/>
                <w:sz w:val="16"/>
              </w:rPr>
              <w:t>Seuil</w:t>
            </w:r>
          </w:p>
        </w:tc>
      </w:tr>
      <w:tr>
        <w:tc>
          <w:tcPr>
            <w:tcW w:type="dxa" w:w="1701"/>
            <w:vAlign w:val="center"/>
          </w:tcPr>
          <w:p>
            <w:pPr>
              <w:spacing w:after="0"/>
            </w:pPr>
            <w:r/>
            <w:r>
              <w:rPr>
                <w:rFonts w:ascii="Arial" w:hAnsi="Arial"/>
                <w:b w:val="0"/>
                <w:sz w:val="16"/>
              </w:rPr>
              <w:t>Jaune</w:t>
            </w:r>
          </w:p>
        </w:tc>
        <w:tc>
          <w:tcPr>
            <w:tcW w:type="dxa" w:w="1814"/>
            <w:vAlign w:val="center"/>
          </w:tcPr>
          <w:p>
            <w:pPr>
              <w:spacing w:after="0"/>
            </w:pPr>
            <w:r/>
            <w:r>
              <w:rPr>
                <w:rFonts w:ascii="Arial" w:hAnsi="Arial"/>
                <w:b w:val="0"/>
                <w:sz w:val="16"/>
              </w:rPr>
              <w:t>POINT</w:t>
            </w:r>
          </w:p>
        </w:tc>
        <w:tc>
          <w:tcPr>
            <w:tcW w:type="dxa" w:w="3118"/>
            <w:vAlign w:val="center"/>
          </w:tcPr>
          <w:p>
            <w:pPr>
              <w:spacing w:after="0"/>
            </w:pPr>
            <w:r/>
            <w:r>
              <w:rPr>
                <w:rFonts w:ascii="Arial" w:hAnsi="Arial"/>
                <w:b w:val="0"/>
                <w:sz w:val="16"/>
              </w:rPr>
              <w:t>Sécurité / salut</w:t>
            </w:r>
          </w:p>
        </w:tc>
        <w:tc>
          <w:tcPr>
            <w:tcW w:type="dxa" w:w="3118"/>
            <w:vAlign w:val="center"/>
          </w:tcPr>
          <w:p>
            <w:pPr>
              <w:spacing w:after="0"/>
            </w:pPr>
            <w:r/>
            <w:r>
              <w:rPr>
                <w:rFonts w:ascii="Arial" w:hAnsi="Arial"/>
                <w:b w:val="0"/>
                <w:sz w:val="16"/>
              </w:rPr>
              <w:t>Bases</w:t>
            </w:r>
          </w:p>
        </w:tc>
        <w:tc>
          <w:tcPr>
            <w:tcW w:type="dxa" w:w="2551"/>
            <w:vAlign w:val="center"/>
          </w:tcPr>
          <w:p>
            <w:pPr>
              <w:spacing w:after="0"/>
            </w:pPr>
            <w:r/>
            <w:r>
              <w:rPr>
                <w:rFonts w:ascii="Arial" w:hAnsi="Arial"/>
                <w:b w:val="0"/>
                <w:sz w:val="16"/>
              </w:rPr>
              <w:t>Éducatif</w:t>
            </w:r>
          </w:p>
        </w:tc>
        <w:tc>
          <w:tcPr>
            <w:tcW w:type="dxa" w:w="1417"/>
            <w:vAlign w:val="center"/>
          </w:tcPr>
          <w:p>
            <w:pPr>
              <w:spacing w:after="0"/>
            </w:pPr>
            <w:r/>
            <w:r>
              <w:rPr>
                <w:rFonts w:ascii="Arial" w:hAnsi="Arial"/>
                <w:b w:val="0"/>
                <w:sz w:val="16"/>
              </w:rPr>
              <w:t>60/100</w:t>
            </w:r>
          </w:p>
        </w:tc>
      </w:tr>
      <w:tr>
        <w:tc>
          <w:tcPr>
            <w:tcW w:type="dxa" w:w="1701"/>
            <w:vAlign w:val="center"/>
            <w:shd w:fill="F3F6FA"/>
          </w:tcPr>
          <w:p>
            <w:pPr>
              <w:spacing w:after="0"/>
            </w:pPr>
            <w:r/>
            <w:r>
              <w:rPr>
                <w:rFonts w:ascii="Arial" w:hAnsi="Arial"/>
                <w:b w:val="0"/>
                <w:sz w:val="16"/>
              </w:rPr>
              <w:t>Orange</w:t>
            </w:r>
          </w:p>
        </w:tc>
        <w:tc>
          <w:tcPr>
            <w:tcW w:type="dxa" w:w="1814"/>
            <w:vAlign w:val="center"/>
            <w:shd w:fill="F3F6FA"/>
          </w:tcPr>
          <w:p>
            <w:pPr>
              <w:spacing w:after="0"/>
            </w:pPr>
            <w:r/>
            <w:r>
              <w:rPr>
                <w:rFonts w:ascii="Arial" w:hAnsi="Arial"/>
                <w:b w:val="0"/>
                <w:sz w:val="16"/>
              </w:rPr>
              <w:t>SQUARE</w:t>
            </w:r>
          </w:p>
        </w:tc>
        <w:tc>
          <w:tcPr>
            <w:tcW w:type="dxa" w:w="3118"/>
            <w:vAlign w:val="center"/>
            <w:shd w:fill="F3F6FA"/>
          </w:tcPr>
          <w:p>
            <w:pPr>
              <w:spacing w:after="0"/>
            </w:pPr>
            <w:r/>
            <w:r>
              <w:rPr>
                <w:rFonts w:ascii="Arial" w:hAnsi="Arial"/>
                <w:b w:val="0"/>
                <w:sz w:val="16"/>
              </w:rPr>
              <w:t>Préparation petit bâton</w:t>
            </w:r>
          </w:p>
        </w:tc>
        <w:tc>
          <w:tcPr>
            <w:tcW w:type="dxa" w:w="3118"/>
            <w:vAlign w:val="center"/>
            <w:shd w:fill="F3F6FA"/>
          </w:tcPr>
          <w:p>
            <w:pPr>
              <w:spacing w:after="0"/>
            </w:pPr>
            <w:r/>
            <w:r>
              <w:rPr>
                <w:rFonts w:ascii="Arial" w:hAnsi="Arial"/>
                <w:b w:val="0"/>
                <w:sz w:val="16"/>
              </w:rPr>
              <w:t>3 projections + 3 immobilisations</w:t>
            </w:r>
          </w:p>
        </w:tc>
        <w:tc>
          <w:tcPr>
            <w:tcW w:type="dxa" w:w="2551"/>
            <w:vAlign w:val="center"/>
            <w:shd w:fill="F3F6FA"/>
          </w:tcPr>
          <w:p>
            <w:pPr>
              <w:spacing w:after="0"/>
            </w:pPr>
            <w:r/>
            <w:r>
              <w:rPr>
                <w:rFonts w:ascii="Arial" w:hAnsi="Arial"/>
                <w:b w:val="0"/>
                <w:sz w:val="16"/>
              </w:rPr>
              <w:t>Éducatif contrôlé</w:t>
            </w:r>
          </w:p>
        </w:tc>
        <w:tc>
          <w:tcPr>
            <w:tcW w:type="dxa" w:w="1417"/>
            <w:vAlign w:val="center"/>
            <w:shd w:fill="F3F6FA"/>
          </w:tcPr>
          <w:p>
            <w:pPr>
              <w:spacing w:after="0"/>
            </w:pPr>
            <w:r/>
            <w:r>
              <w:rPr>
                <w:rFonts w:ascii="Arial" w:hAnsi="Arial"/>
                <w:b w:val="0"/>
                <w:sz w:val="16"/>
              </w:rPr>
              <w:t>60/100</w:t>
            </w:r>
          </w:p>
        </w:tc>
      </w:tr>
      <w:tr>
        <w:tc>
          <w:tcPr>
            <w:tcW w:type="dxa" w:w="1701"/>
            <w:vAlign w:val="center"/>
          </w:tcPr>
          <w:p>
            <w:pPr>
              <w:spacing w:after="0"/>
            </w:pPr>
            <w:r/>
            <w:r>
              <w:rPr>
                <w:rFonts w:ascii="Arial" w:hAnsi="Arial"/>
                <w:b w:val="0"/>
                <w:sz w:val="16"/>
              </w:rPr>
              <w:t>Verte</w:t>
            </w:r>
          </w:p>
        </w:tc>
        <w:tc>
          <w:tcPr>
            <w:tcW w:type="dxa" w:w="1814"/>
            <w:vAlign w:val="center"/>
          </w:tcPr>
          <w:p>
            <w:pPr>
              <w:spacing w:after="0"/>
            </w:pPr>
            <w:r/>
            <w:r>
              <w:rPr>
                <w:rFonts w:ascii="Arial" w:hAnsi="Arial"/>
                <w:b w:val="0"/>
                <w:sz w:val="16"/>
              </w:rPr>
              <w:t>CROSS</w:t>
            </w:r>
          </w:p>
        </w:tc>
        <w:tc>
          <w:tcPr>
            <w:tcW w:type="dxa" w:w="3118"/>
            <w:vAlign w:val="center"/>
          </w:tcPr>
          <w:p>
            <w:pPr>
              <w:spacing w:after="0"/>
            </w:pPr>
            <w:r/>
            <w:r>
              <w:rPr>
                <w:rFonts w:ascii="Arial" w:hAnsi="Arial"/>
                <w:b w:val="0"/>
                <w:sz w:val="16"/>
              </w:rPr>
              <w:t>Petit bâton 1–9 + FOUR WINDS</w:t>
            </w:r>
          </w:p>
        </w:tc>
        <w:tc>
          <w:tcPr>
            <w:tcW w:type="dxa" w:w="3118"/>
            <w:vAlign w:val="center"/>
          </w:tcPr>
          <w:p>
            <w:pPr>
              <w:spacing w:after="0"/>
            </w:pPr>
            <w:r/>
            <w:r>
              <w:rPr>
                <w:rFonts w:ascii="Arial" w:hAnsi="Arial"/>
                <w:b w:val="0"/>
                <w:sz w:val="16"/>
              </w:rPr>
              <w:t>Application complète</w:t>
            </w:r>
          </w:p>
        </w:tc>
        <w:tc>
          <w:tcPr>
            <w:tcW w:type="dxa" w:w="2551"/>
            <w:vAlign w:val="center"/>
          </w:tcPr>
          <w:p>
            <w:pPr>
              <w:spacing w:after="0"/>
            </w:pPr>
            <w:r/>
            <w:r>
              <w:rPr>
                <w:rFonts w:ascii="Arial" w:hAnsi="Arial"/>
                <w:b w:val="0"/>
                <w:sz w:val="16"/>
              </w:rPr>
              <w:t>Assaut technique</w:t>
            </w:r>
          </w:p>
        </w:tc>
        <w:tc>
          <w:tcPr>
            <w:tcW w:type="dxa" w:w="1417"/>
            <w:vAlign w:val="center"/>
          </w:tcPr>
          <w:p>
            <w:pPr>
              <w:spacing w:after="0"/>
            </w:pPr>
            <w:r/>
            <w:r>
              <w:rPr>
                <w:rFonts w:ascii="Arial" w:hAnsi="Arial"/>
                <w:b w:val="0"/>
                <w:sz w:val="16"/>
              </w:rPr>
              <w:t>60/100</w:t>
            </w:r>
          </w:p>
        </w:tc>
      </w:tr>
      <w:tr>
        <w:tc>
          <w:tcPr>
            <w:tcW w:type="dxa" w:w="1701"/>
            <w:vAlign w:val="center"/>
            <w:shd w:fill="F3F6FA"/>
          </w:tcPr>
          <w:p>
            <w:pPr>
              <w:spacing w:after="0"/>
            </w:pPr>
            <w:r/>
            <w:r>
              <w:rPr>
                <w:rFonts w:ascii="Arial" w:hAnsi="Arial"/>
                <w:b w:val="0"/>
                <w:sz w:val="16"/>
              </w:rPr>
              <w:t>Bleue</w:t>
            </w:r>
          </w:p>
        </w:tc>
        <w:tc>
          <w:tcPr>
            <w:tcW w:type="dxa" w:w="1814"/>
            <w:vAlign w:val="center"/>
            <w:shd w:fill="F3F6FA"/>
          </w:tcPr>
          <w:p>
            <w:pPr>
              <w:spacing w:after="0"/>
            </w:pPr>
            <w:r/>
            <w:r>
              <w:rPr>
                <w:rFonts w:ascii="Arial" w:hAnsi="Arial"/>
                <w:b w:val="0"/>
                <w:sz w:val="16"/>
              </w:rPr>
              <w:t>POINT/SQUARE/CROSS</w:t>
            </w:r>
          </w:p>
        </w:tc>
        <w:tc>
          <w:tcPr>
            <w:tcW w:type="dxa" w:w="3118"/>
            <w:vAlign w:val="center"/>
            <w:shd w:fill="F3F6FA"/>
          </w:tcPr>
          <w:p>
            <w:pPr>
              <w:spacing w:after="0"/>
            </w:pPr>
            <w:r/>
            <w:r>
              <w:rPr>
                <w:rFonts w:ascii="Arial" w:hAnsi="Arial"/>
                <w:b w:val="0"/>
                <w:sz w:val="16"/>
              </w:rPr>
              <w:t>1er kata petit bâton + initiation kukri</w:t>
            </w:r>
          </w:p>
        </w:tc>
        <w:tc>
          <w:tcPr>
            <w:tcW w:type="dxa" w:w="3118"/>
            <w:vAlign w:val="center"/>
            <w:shd w:fill="F3F6FA"/>
          </w:tcPr>
          <w:p>
            <w:pPr>
              <w:spacing w:after="0"/>
            </w:pPr>
            <w:r/>
            <w:r>
              <w:rPr>
                <w:rFonts w:ascii="Arial" w:hAnsi="Arial"/>
                <w:b w:val="0"/>
                <w:sz w:val="16"/>
              </w:rPr>
              <w:t>Projections, retournements, 3 clés</w:t>
            </w:r>
          </w:p>
        </w:tc>
        <w:tc>
          <w:tcPr>
            <w:tcW w:type="dxa" w:w="2551"/>
            <w:vAlign w:val="center"/>
            <w:shd w:fill="F3F6FA"/>
          </w:tcPr>
          <w:p>
            <w:pPr>
              <w:spacing w:after="0"/>
            </w:pPr>
            <w:r/>
            <w:r>
              <w:rPr>
                <w:rFonts w:ascii="Arial" w:hAnsi="Arial"/>
                <w:b w:val="0"/>
                <w:sz w:val="16"/>
              </w:rPr>
              <w:t>Intermédiaire / clinch</w:t>
            </w:r>
          </w:p>
        </w:tc>
        <w:tc>
          <w:tcPr>
            <w:tcW w:type="dxa" w:w="1417"/>
            <w:vAlign w:val="center"/>
            <w:shd w:fill="F3F6FA"/>
          </w:tcPr>
          <w:p>
            <w:pPr>
              <w:spacing w:after="0"/>
            </w:pPr>
            <w:r/>
            <w:r>
              <w:rPr>
                <w:rFonts w:ascii="Arial" w:hAnsi="Arial"/>
                <w:b w:val="0"/>
                <w:sz w:val="16"/>
              </w:rPr>
              <w:t>65/100</w:t>
            </w:r>
          </w:p>
        </w:tc>
      </w:tr>
      <w:tr>
        <w:tc>
          <w:tcPr>
            <w:tcW w:type="dxa" w:w="1701"/>
            <w:vAlign w:val="center"/>
          </w:tcPr>
          <w:p>
            <w:pPr>
              <w:spacing w:after="0"/>
            </w:pPr>
            <w:r/>
            <w:r>
              <w:rPr>
                <w:rFonts w:ascii="Arial" w:hAnsi="Arial"/>
                <w:b w:val="0"/>
                <w:sz w:val="16"/>
              </w:rPr>
              <w:t>Marron</w:t>
            </w:r>
          </w:p>
        </w:tc>
        <w:tc>
          <w:tcPr>
            <w:tcW w:type="dxa" w:w="1814"/>
            <w:vAlign w:val="center"/>
          </w:tcPr>
          <w:p>
            <w:pPr>
              <w:spacing w:after="0"/>
            </w:pPr>
            <w:r/>
            <w:r>
              <w:rPr>
                <w:rFonts w:ascii="Arial" w:hAnsi="Arial"/>
                <w:b w:val="0"/>
                <w:sz w:val="16"/>
              </w:rPr>
              <w:t>TEE + tirage</w:t>
            </w:r>
          </w:p>
        </w:tc>
        <w:tc>
          <w:tcPr>
            <w:tcW w:type="dxa" w:w="3118"/>
            <w:vAlign w:val="center"/>
          </w:tcPr>
          <w:p>
            <w:pPr>
              <w:spacing w:after="0"/>
            </w:pPr>
            <w:r/>
            <w:r>
              <w:rPr>
                <w:rFonts w:ascii="Arial" w:hAnsi="Arial"/>
                <w:b w:val="0"/>
                <w:sz w:val="16"/>
              </w:rPr>
              <w:t>2e kata petit bâton + FOUR CORNER + kukri</w:t>
            </w:r>
          </w:p>
        </w:tc>
        <w:tc>
          <w:tcPr>
            <w:tcW w:type="dxa" w:w="3118"/>
            <w:vAlign w:val="center"/>
          </w:tcPr>
          <w:p>
            <w:pPr>
              <w:spacing w:after="0"/>
            </w:pPr>
            <w:r/>
            <w:r>
              <w:rPr>
                <w:rFonts w:ascii="Arial" w:hAnsi="Arial"/>
                <w:b w:val="0"/>
                <w:sz w:val="16"/>
              </w:rPr>
              <w:t>6 immobilisations, 3 étranglements, 3 clés</w:t>
            </w:r>
          </w:p>
        </w:tc>
        <w:tc>
          <w:tcPr>
            <w:tcW w:type="dxa" w:w="2551"/>
            <w:vAlign w:val="center"/>
          </w:tcPr>
          <w:p>
            <w:pPr>
              <w:spacing w:after="0"/>
            </w:pPr>
            <w:r/>
            <w:r>
              <w:rPr>
                <w:rFonts w:ascii="Arial" w:hAnsi="Arial"/>
                <w:b w:val="0"/>
                <w:sz w:val="16"/>
              </w:rPr>
              <w:t>2 assauts + analyse</w:t>
            </w:r>
          </w:p>
        </w:tc>
        <w:tc>
          <w:tcPr>
            <w:tcW w:type="dxa" w:w="1417"/>
            <w:vAlign w:val="center"/>
          </w:tcPr>
          <w:p>
            <w:pPr>
              <w:spacing w:after="0"/>
            </w:pPr>
            <w:r/>
            <w:r>
              <w:rPr>
                <w:rFonts w:ascii="Arial" w:hAnsi="Arial"/>
                <w:b w:val="0"/>
                <w:sz w:val="16"/>
              </w:rPr>
              <w:t>65/100</w:t>
            </w:r>
          </w:p>
        </w:tc>
      </w:tr>
      <w:tr>
        <w:tc>
          <w:tcPr>
            <w:tcW w:type="dxa" w:w="1701"/>
            <w:vAlign w:val="center"/>
            <w:shd w:fill="F3F6FA"/>
          </w:tcPr>
          <w:p>
            <w:pPr>
              <w:spacing w:after="0"/>
            </w:pPr>
            <w:r/>
            <w:r>
              <w:rPr>
                <w:rFonts w:ascii="Arial" w:hAnsi="Arial"/>
                <w:b w:val="0"/>
                <w:sz w:val="16"/>
              </w:rPr>
              <w:t>Noire 1er degré</w:t>
            </w:r>
          </w:p>
        </w:tc>
        <w:tc>
          <w:tcPr>
            <w:tcW w:type="dxa" w:w="1814"/>
            <w:vAlign w:val="center"/>
            <w:shd w:fill="F3F6FA"/>
          </w:tcPr>
          <w:p>
            <w:pPr>
              <w:spacing w:after="0"/>
            </w:pPr>
            <w:r/>
            <w:r>
              <w:rPr>
                <w:rFonts w:ascii="Arial" w:hAnsi="Arial"/>
                <w:b w:val="0"/>
                <w:sz w:val="16"/>
              </w:rPr>
              <w:t>Tirage + choix</w:t>
            </w:r>
          </w:p>
        </w:tc>
        <w:tc>
          <w:tcPr>
            <w:tcW w:type="dxa" w:w="3118"/>
            <w:vAlign w:val="center"/>
            <w:shd w:fill="F3F6FA"/>
          </w:tcPr>
          <w:p>
            <w:pPr>
              <w:spacing w:after="0"/>
            </w:pPr>
            <w:r/>
            <w:r>
              <w:rPr>
                <w:rFonts w:ascii="Arial" w:hAnsi="Arial"/>
                <w:b w:val="0"/>
                <w:sz w:val="16"/>
              </w:rPr>
              <w:t>3e kata petit bâton + HORSE MAN + kata kukri</w:t>
            </w:r>
          </w:p>
        </w:tc>
        <w:tc>
          <w:tcPr>
            <w:tcW w:type="dxa" w:w="3118"/>
            <w:vAlign w:val="center"/>
            <w:shd w:fill="F3F6FA"/>
          </w:tcPr>
          <w:p>
            <w:pPr>
              <w:spacing w:after="0"/>
            </w:pPr>
            <w:r/>
            <w:r>
              <w:rPr>
                <w:rFonts w:ascii="Arial" w:hAnsi="Arial"/>
                <w:b w:val="0"/>
                <w:sz w:val="16"/>
              </w:rPr>
              <w:t>Situation complète</w:t>
            </w:r>
          </w:p>
        </w:tc>
        <w:tc>
          <w:tcPr>
            <w:tcW w:type="dxa" w:w="2551"/>
            <w:vAlign w:val="center"/>
            <w:shd w:fill="F3F6FA"/>
          </w:tcPr>
          <w:p>
            <w:pPr>
              <w:spacing w:after="0"/>
            </w:pPr>
            <w:r/>
            <w:r>
              <w:rPr>
                <w:rFonts w:ascii="Arial" w:hAnsi="Arial"/>
                <w:b w:val="0"/>
                <w:sz w:val="16"/>
              </w:rPr>
              <w:t>Assaut complet</w:t>
            </w:r>
          </w:p>
        </w:tc>
        <w:tc>
          <w:tcPr>
            <w:tcW w:type="dxa" w:w="1417"/>
            <w:vAlign w:val="center"/>
            <w:shd w:fill="F3F6FA"/>
          </w:tcPr>
          <w:p>
            <w:pPr>
              <w:spacing w:after="0"/>
            </w:pPr>
            <w:r/>
            <w:r>
              <w:rPr>
                <w:rFonts w:ascii="Arial" w:hAnsi="Arial"/>
                <w:b w:val="0"/>
                <w:sz w:val="16"/>
              </w:rPr>
              <w:t>70/100 + 50 % UV1–UV6</w:t>
            </w:r>
          </w:p>
        </w:tc>
      </w:tr>
    </w:tbl>
    <w:p>
      <w:pPr>
        <w:spacing w:after="20"/>
      </w:pPr>
    </w:p>
    <w:p>
      <w:pPr>
        <w:pStyle w:val="Heading1"/>
      </w:pPr>
      <w:r>
        <w:t>BARÈME CEINTURE NOIRE — 1er DEGRÉ</w:t>
      </w:r>
    </w:p>
    <w:tbl>
      <w:tblPr>
        <w:tblStyle w:val="TableGrid"/>
        <w:tblW w:type="auto" w:w="0"/>
        <w:jc w:val="center"/>
        <w:tblLook w:firstColumn="1" w:firstRow="1" w:lastColumn="0" w:lastRow="0" w:noHBand="0" w:noVBand="1" w:val="04A0"/>
      </w:tblPr>
      <w:tblGrid>
        <w:gridCol w:w="2578"/>
        <w:gridCol w:w="2578"/>
        <w:gridCol w:w="2578"/>
        <w:gridCol w:w="2578"/>
      </w:tblGrid>
      <w:tr>
        <w:trPr>
          <w:tblHeader w:val="true"/>
        </w:trPr>
        <w:tc>
          <w:tcPr>
            <w:tcW w:type="dxa" w:w="1134"/>
            <w:vAlign w:val="center"/>
            <w:shd w:fill="17365D"/>
          </w:tcPr>
          <w:p>
            <w:pPr>
              <w:spacing w:after="0"/>
            </w:pPr>
            <w:r/>
            <w:r>
              <w:rPr>
                <w:rFonts w:ascii="Arial" w:hAnsi="Arial"/>
                <w:b/>
                <w:color w:val="FFFFFF"/>
                <w:sz w:val="16"/>
              </w:rPr>
              <w:t>UV</w:t>
            </w:r>
          </w:p>
        </w:tc>
        <w:tc>
          <w:tcPr>
            <w:tcW w:type="dxa" w:w="4535"/>
            <w:vAlign w:val="center"/>
            <w:shd w:fill="17365D"/>
          </w:tcPr>
          <w:p>
            <w:pPr>
              <w:spacing w:after="0"/>
            </w:pPr>
            <w:r/>
            <w:r>
              <w:rPr>
                <w:rFonts w:ascii="Arial" w:hAnsi="Arial"/>
                <w:b/>
                <w:color w:val="FFFFFF"/>
                <w:sz w:val="16"/>
              </w:rPr>
              <w:t>Épreuve</w:t>
            </w:r>
          </w:p>
        </w:tc>
        <w:tc>
          <w:tcPr>
            <w:tcW w:type="dxa" w:w="1701"/>
            <w:vAlign w:val="center"/>
            <w:shd w:fill="17365D"/>
          </w:tcPr>
          <w:p>
            <w:pPr>
              <w:spacing w:after="0"/>
            </w:pPr>
            <w:r/>
            <w:r>
              <w:rPr>
                <w:rFonts w:ascii="Arial" w:hAnsi="Arial"/>
                <w:b/>
                <w:color w:val="FFFFFF"/>
                <w:sz w:val="16"/>
              </w:rPr>
              <w:t>Points</w:t>
            </w:r>
          </w:p>
        </w:tc>
        <w:tc>
          <w:tcPr>
            <w:tcW w:type="dxa" w:w="2268"/>
            <w:vAlign w:val="center"/>
            <w:shd w:fill="17365D"/>
          </w:tcPr>
          <w:p>
            <w:pPr>
              <w:spacing w:after="0"/>
            </w:pPr>
            <w:r/>
            <w:r>
              <w:rPr>
                <w:rFonts w:ascii="Arial" w:hAnsi="Arial"/>
                <w:b/>
                <w:color w:val="FFFFFF"/>
                <w:sz w:val="16"/>
              </w:rPr>
              <w:t>Minimum requis</w:t>
            </w:r>
          </w:p>
        </w:tc>
      </w:tr>
      <w:tr>
        <w:tc>
          <w:tcPr>
            <w:tcW w:type="dxa" w:w="1134"/>
            <w:vAlign w:val="center"/>
          </w:tcPr>
          <w:p>
            <w:pPr>
              <w:spacing w:after="0"/>
            </w:pPr>
            <w:r/>
            <w:r>
              <w:rPr>
                <w:rFonts w:ascii="Arial" w:hAnsi="Arial"/>
                <w:b w:val="0"/>
                <w:sz w:val="16"/>
              </w:rPr>
              <w:t>UV1</w:t>
            </w:r>
          </w:p>
        </w:tc>
        <w:tc>
          <w:tcPr>
            <w:tcW w:type="dxa" w:w="4535"/>
            <w:vAlign w:val="center"/>
          </w:tcPr>
          <w:p>
            <w:pPr>
              <w:spacing w:after="0"/>
            </w:pPr>
            <w:r/>
            <w:r>
              <w:rPr>
                <w:rFonts w:ascii="Arial" w:hAnsi="Arial"/>
                <w:b w:val="0"/>
                <w:sz w:val="16"/>
              </w:rPr>
              <w:t>Bando</w:t>
            </w:r>
          </w:p>
        </w:tc>
        <w:tc>
          <w:tcPr>
            <w:tcW w:type="dxa" w:w="1701"/>
            <w:vAlign w:val="center"/>
          </w:tcPr>
          <w:p>
            <w:pPr>
              <w:spacing w:after="0"/>
            </w:pPr>
            <w:r/>
            <w:r>
              <w:rPr>
                <w:rFonts w:ascii="Arial" w:hAnsi="Arial"/>
                <w:b w:val="0"/>
                <w:sz w:val="16"/>
              </w:rPr>
              <w:t>20</w:t>
            </w:r>
          </w:p>
        </w:tc>
        <w:tc>
          <w:tcPr>
            <w:tcW w:type="dxa" w:w="2268"/>
            <w:vAlign w:val="center"/>
          </w:tcPr>
          <w:p>
            <w:pPr>
              <w:spacing w:after="0"/>
            </w:pPr>
            <w:r/>
            <w:r>
              <w:rPr>
                <w:rFonts w:ascii="Arial" w:hAnsi="Arial"/>
                <w:b w:val="0"/>
                <w:sz w:val="16"/>
              </w:rPr>
              <w:t>10</w:t>
            </w:r>
          </w:p>
        </w:tc>
      </w:tr>
      <w:tr>
        <w:tc>
          <w:tcPr>
            <w:tcW w:type="dxa" w:w="1134"/>
            <w:vAlign w:val="center"/>
            <w:shd w:fill="F3F6FA"/>
          </w:tcPr>
          <w:p>
            <w:pPr>
              <w:spacing w:after="0"/>
            </w:pPr>
            <w:r/>
            <w:r>
              <w:rPr>
                <w:rFonts w:ascii="Arial" w:hAnsi="Arial"/>
                <w:b w:val="0"/>
                <w:sz w:val="16"/>
              </w:rPr>
              <w:t>UV2</w:t>
            </w:r>
          </w:p>
        </w:tc>
        <w:tc>
          <w:tcPr>
            <w:tcW w:type="dxa" w:w="4535"/>
            <w:vAlign w:val="center"/>
            <w:shd w:fill="F3F6FA"/>
          </w:tcPr>
          <w:p>
            <w:pPr>
              <w:spacing w:after="0"/>
            </w:pPr>
            <w:r/>
            <w:r>
              <w:rPr>
                <w:rFonts w:ascii="Arial" w:hAnsi="Arial"/>
                <w:b w:val="0"/>
                <w:sz w:val="16"/>
              </w:rPr>
              <w:t>Formes</w:t>
            </w:r>
          </w:p>
        </w:tc>
        <w:tc>
          <w:tcPr>
            <w:tcW w:type="dxa" w:w="1701"/>
            <w:vAlign w:val="center"/>
            <w:shd w:fill="F3F6FA"/>
          </w:tcPr>
          <w:p>
            <w:pPr>
              <w:spacing w:after="0"/>
            </w:pPr>
            <w:r/>
            <w:r>
              <w:rPr>
                <w:rFonts w:ascii="Arial" w:hAnsi="Arial"/>
                <w:b w:val="0"/>
                <w:sz w:val="16"/>
              </w:rPr>
              <w:t>15</w:t>
            </w:r>
          </w:p>
        </w:tc>
        <w:tc>
          <w:tcPr>
            <w:tcW w:type="dxa" w:w="2268"/>
            <w:vAlign w:val="center"/>
            <w:shd w:fill="F3F6FA"/>
          </w:tcPr>
          <w:p>
            <w:pPr>
              <w:spacing w:after="0"/>
            </w:pPr>
            <w:r/>
            <w:r>
              <w:rPr>
                <w:rFonts w:ascii="Arial" w:hAnsi="Arial"/>
                <w:b w:val="0"/>
                <w:sz w:val="16"/>
              </w:rPr>
              <w:t>7,5</w:t>
            </w:r>
          </w:p>
        </w:tc>
      </w:tr>
      <w:tr>
        <w:tc>
          <w:tcPr>
            <w:tcW w:type="dxa" w:w="1134"/>
            <w:vAlign w:val="center"/>
          </w:tcPr>
          <w:p>
            <w:pPr>
              <w:spacing w:after="0"/>
            </w:pPr>
            <w:r/>
            <w:r>
              <w:rPr>
                <w:rFonts w:ascii="Arial" w:hAnsi="Arial"/>
                <w:b w:val="0"/>
                <w:sz w:val="16"/>
              </w:rPr>
              <w:t>UV3</w:t>
            </w:r>
          </w:p>
        </w:tc>
        <w:tc>
          <w:tcPr>
            <w:tcW w:type="dxa" w:w="4535"/>
            <w:vAlign w:val="center"/>
          </w:tcPr>
          <w:p>
            <w:pPr>
              <w:spacing w:after="0"/>
            </w:pPr>
            <w:r/>
            <w:r>
              <w:rPr>
                <w:rFonts w:ascii="Arial" w:hAnsi="Arial"/>
                <w:b w:val="0"/>
                <w:sz w:val="16"/>
              </w:rPr>
              <w:t>Banshay</w:t>
            </w:r>
          </w:p>
        </w:tc>
        <w:tc>
          <w:tcPr>
            <w:tcW w:type="dxa" w:w="1701"/>
            <w:vAlign w:val="center"/>
          </w:tcPr>
          <w:p>
            <w:pPr>
              <w:spacing w:after="0"/>
            </w:pPr>
            <w:r/>
            <w:r>
              <w:rPr>
                <w:rFonts w:ascii="Arial" w:hAnsi="Arial"/>
                <w:b w:val="0"/>
                <w:sz w:val="16"/>
              </w:rPr>
              <w:t>15</w:t>
            </w:r>
          </w:p>
        </w:tc>
        <w:tc>
          <w:tcPr>
            <w:tcW w:type="dxa" w:w="2268"/>
            <w:vAlign w:val="center"/>
          </w:tcPr>
          <w:p>
            <w:pPr>
              <w:spacing w:after="0"/>
            </w:pPr>
            <w:r/>
            <w:r>
              <w:rPr>
                <w:rFonts w:ascii="Arial" w:hAnsi="Arial"/>
                <w:b w:val="0"/>
                <w:sz w:val="16"/>
              </w:rPr>
              <w:t>7,5</w:t>
            </w:r>
          </w:p>
        </w:tc>
      </w:tr>
      <w:tr>
        <w:tc>
          <w:tcPr>
            <w:tcW w:type="dxa" w:w="1134"/>
            <w:vAlign w:val="center"/>
            <w:shd w:fill="F3F6FA"/>
          </w:tcPr>
          <w:p>
            <w:pPr>
              <w:spacing w:after="0"/>
            </w:pPr>
            <w:r/>
            <w:r>
              <w:rPr>
                <w:rFonts w:ascii="Arial" w:hAnsi="Arial"/>
                <w:b w:val="0"/>
                <w:sz w:val="16"/>
              </w:rPr>
              <w:t>UV4</w:t>
            </w:r>
          </w:p>
        </w:tc>
        <w:tc>
          <w:tcPr>
            <w:tcW w:type="dxa" w:w="4535"/>
            <w:vAlign w:val="center"/>
            <w:shd w:fill="F3F6FA"/>
          </w:tcPr>
          <w:p>
            <w:pPr>
              <w:spacing w:after="0"/>
            </w:pPr>
            <w:r/>
            <w:r>
              <w:rPr>
                <w:rFonts w:ascii="Arial" w:hAnsi="Arial"/>
                <w:b w:val="0"/>
                <w:sz w:val="16"/>
              </w:rPr>
              <w:t>Naban</w:t>
            </w:r>
          </w:p>
        </w:tc>
        <w:tc>
          <w:tcPr>
            <w:tcW w:type="dxa" w:w="1701"/>
            <w:vAlign w:val="center"/>
            <w:shd w:fill="F3F6FA"/>
          </w:tcPr>
          <w:p>
            <w:pPr>
              <w:spacing w:after="0"/>
            </w:pPr>
            <w:r/>
            <w:r>
              <w:rPr>
                <w:rFonts w:ascii="Arial" w:hAnsi="Arial"/>
                <w:b w:val="0"/>
                <w:sz w:val="16"/>
              </w:rPr>
              <w:t>15</w:t>
            </w:r>
          </w:p>
        </w:tc>
        <w:tc>
          <w:tcPr>
            <w:tcW w:type="dxa" w:w="2268"/>
            <w:vAlign w:val="center"/>
            <w:shd w:fill="F3F6FA"/>
          </w:tcPr>
          <w:p>
            <w:pPr>
              <w:spacing w:after="0"/>
            </w:pPr>
            <w:r/>
            <w:r>
              <w:rPr>
                <w:rFonts w:ascii="Arial" w:hAnsi="Arial"/>
                <w:b w:val="0"/>
                <w:sz w:val="16"/>
              </w:rPr>
              <w:t>7,5</w:t>
            </w:r>
          </w:p>
        </w:tc>
      </w:tr>
      <w:tr>
        <w:tc>
          <w:tcPr>
            <w:tcW w:type="dxa" w:w="1134"/>
            <w:vAlign w:val="center"/>
          </w:tcPr>
          <w:p>
            <w:pPr>
              <w:spacing w:after="0"/>
            </w:pPr>
            <w:r/>
            <w:r>
              <w:rPr>
                <w:rFonts w:ascii="Arial" w:hAnsi="Arial"/>
                <w:b w:val="0"/>
                <w:sz w:val="16"/>
              </w:rPr>
              <w:t>UV5</w:t>
            </w:r>
          </w:p>
        </w:tc>
        <w:tc>
          <w:tcPr>
            <w:tcW w:type="dxa" w:w="4535"/>
            <w:vAlign w:val="center"/>
          </w:tcPr>
          <w:p>
            <w:pPr>
              <w:spacing w:after="0"/>
            </w:pPr>
            <w:r/>
            <w:r>
              <w:rPr>
                <w:rFonts w:ascii="Arial" w:hAnsi="Arial"/>
                <w:b w:val="0"/>
                <w:sz w:val="16"/>
              </w:rPr>
              <w:t>Lethwei</w:t>
            </w:r>
          </w:p>
        </w:tc>
        <w:tc>
          <w:tcPr>
            <w:tcW w:type="dxa" w:w="1701"/>
            <w:vAlign w:val="center"/>
          </w:tcPr>
          <w:p>
            <w:pPr>
              <w:spacing w:after="0"/>
            </w:pPr>
            <w:r/>
            <w:r>
              <w:rPr>
                <w:rFonts w:ascii="Arial" w:hAnsi="Arial"/>
                <w:b w:val="0"/>
                <w:sz w:val="16"/>
              </w:rPr>
              <w:t>15</w:t>
            </w:r>
          </w:p>
        </w:tc>
        <w:tc>
          <w:tcPr>
            <w:tcW w:type="dxa" w:w="2268"/>
            <w:vAlign w:val="center"/>
          </w:tcPr>
          <w:p>
            <w:pPr>
              <w:spacing w:after="0"/>
            </w:pPr>
            <w:r/>
            <w:r>
              <w:rPr>
                <w:rFonts w:ascii="Arial" w:hAnsi="Arial"/>
                <w:b w:val="0"/>
                <w:sz w:val="16"/>
              </w:rPr>
              <w:t>7,5</w:t>
            </w:r>
          </w:p>
        </w:tc>
      </w:tr>
      <w:tr>
        <w:tc>
          <w:tcPr>
            <w:tcW w:type="dxa" w:w="1134"/>
            <w:vAlign w:val="center"/>
            <w:shd w:fill="F3F6FA"/>
          </w:tcPr>
          <w:p>
            <w:pPr>
              <w:spacing w:after="0"/>
            </w:pPr>
            <w:r/>
            <w:r>
              <w:rPr>
                <w:rFonts w:ascii="Arial" w:hAnsi="Arial"/>
                <w:b w:val="0"/>
                <w:sz w:val="16"/>
              </w:rPr>
              <w:t>UV6</w:t>
            </w:r>
          </w:p>
        </w:tc>
        <w:tc>
          <w:tcPr>
            <w:tcW w:type="dxa" w:w="4535"/>
            <w:vAlign w:val="center"/>
            <w:shd w:fill="F3F6FA"/>
          </w:tcPr>
          <w:p>
            <w:pPr>
              <w:spacing w:after="0"/>
            </w:pPr>
            <w:r/>
            <w:r>
              <w:rPr>
                <w:rFonts w:ascii="Arial" w:hAnsi="Arial"/>
                <w:b w:val="0"/>
                <w:sz w:val="16"/>
              </w:rPr>
              <w:t>Min Zin / Monk System</w:t>
            </w:r>
          </w:p>
        </w:tc>
        <w:tc>
          <w:tcPr>
            <w:tcW w:type="dxa" w:w="1701"/>
            <w:vAlign w:val="center"/>
            <w:shd w:fill="F3F6FA"/>
          </w:tcPr>
          <w:p>
            <w:pPr>
              <w:spacing w:after="0"/>
            </w:pPr>
            <w:r/>
            <w:r>
              <w:rPr>
                <w:rFonts w:ascii="Arial" w:hAnsi="Arial"/>
                <w:b w:val="0"/>
                <w:sz w:val="16"/>
              </w:rPr>
              <w:t>10</w:t>
            </w:r>
          </w:p>
        </w:tc>
        <w:tc>
          <w:tcPr>
            <w:tcW w:type="dxa" w:w="2268"/>
            <w:vAlign w:val="center"/>
            <w:shd w:fill="F3F6FA"/>
          </w:tcPr>
          <w:p>
            <w:pPr>
              <w:spacing w:after="0"/>
            </w:pPr>
            <w:r/>
            <w:r>
              <w:rPr>
                <w:rFonts w:ascii="Arial" w:hAnsi="Arial"/>
                <w:b w:val="0"/>
                <w:sz w:val="16"/>
              </w:rPr>
              <w:t>5</w:t>
            </w:r>
          </w:p>
        </w:tc>
      </w:tr>
      <w:tr>
        <w:tc>
          <w:tcPr>
            <w:tcW w:type="dxa" w:w="1134"/>
            <w:vAlign w:val="center"/>
          </w:tcPr>
          <w:p>
            <w:pPr>
              <w:spacing w:after="0"/>
            </w:pPr>
            <w:r/>
            <w:r>
              <w:rPr>
                <w:rFonts w:ascii="Arial" w:hAnsi="Arial"/>
                <w:b w:val="0"/>
                <w:sz w:val="16"/>
              </w:rPr>
              <w:t>UV7</w:t>
            </w:r>
          </w:p>
        </w:tc>
        <w:tc>
          <w:tcPr>
            <w:tcW w:type="dxa" w:w="4535"/>
            <w:vAlign w:val="center"/>
          </w:tcPr>
          <w:p>
            <w:pPr>
              <w:spacing w:after="0"/>
            </w:pPr>
            <w:r/>
            <w:r>
              <w:rPr>
                <w:rFonts w:ascii="Arial" w:hAnsi="Arial"/>
                <w:b w:val="0"/>
                <w:sz w:val="16"/>
              </w:rPr>
              <w:t>Pédagogie / arbitrage</w:t>
            </w:r>
          </w:p>
        </w:tc>
        <w:tc>
          <w:tcPr>
            <w:tcW w:type="dxa" w:w="1701"/>
            <w:vAlign w:val="center"/>
          </w:tcPr>
          <w:p>
            <w:pPr>
              <w:spacing w:after="0"/>
            </w:pPr>
            <w:r/>
            <w:r>
              <w:rPr>
                <w:rFonts w:ascii="Arial" w:hAnsi="Arial"/>
                <w:b w:val="0"/>
                <w:sz w:val="16"/>
              </w:rPr>
              <w:t>5</w:t>
            </w:r>
          </w:p>
        </w:tc>
        <w:tc>
          <w:tcPr>
            <w:tcW w:type="dxa" w:w="2268"/>
            <w:vAlign w:val="center"/>
          </w:tcPr>
          <w:p>
            <w:pPr>
              <w:spacing w:after="0"/>
            </w:pPr>
            <w:r/>
            <w:r>
              <w:rPr>
                <w:rFonts w:ascii="Arial" w:hAnsi="Arial"/>
                <w:b w:val="0"/>
                <w:sz w:val="16"/>
              </w:rPr>
              <w:t>—</w:t>
            </w:r>
          </w:p>
        </w:tc>
      </w:tr>
      <w:tr>
        <w:tc>
          <w:tcPr>
            <w:tcW w:type="dxa" w:w="1134"/>
            <w:vAlign w:val="center"/>
            <w:shd w:fill="F3F6FA"/>
          </w:tcPr>
          <w:p>
            <w:pPr>
              <w:spacing w:after="0"/>
            </w:pPr>
            <w:r/>
            <w:r>
              <w:rPr>
                <w:rFonts w:ascii="Arial" w:hAnsi="Arial"/>
                <w:b w:val="0"/>
                <w:sz w:val="16"/>
              </w:rPr>
              <w:t>UV8</w:t>
            </w:r>
          </w:p>
        </w:tc>
        <w:tc>
          <w:tcPr>
            <w:tcW w:type="dxa" w:w="4535"/>
            <w:vAlign w:val="center"/>
            <w:shd w:fill="F3F6FA"/>
          </w:tcPr>
          <w:p>
            <w:pPr>
              <w:spacing w:after="0"/>
            </w:pPr>
            <w:r/>
            <w:r>
              <w:rPr>
                <w:rFonts w:ascii="Arial" w:hAnsi="Arial"/>
                <w:b w:val="0"/>
                <w:sz w:val="16"/>
              </w:rPr>
              <w:t>Culture / terminologie</w:t>
            </w:r>
          </w:p>
        </w:tc>
        <w:tc>
          <w:tcPr>
            <w:tcW w:type="dxa" w:w="1701"/>
            <w:vAlign w:val="center"/>
            <w:shd w:fill="F3F6FA"/>
          </w:tcPr>
          <w:p>
            <w:pPr>
              <w:spacing w:after="0"/>
            </w:pPr>
            <w:r/>
            <w:r>
              <w:rPr>
                <w:rFonts w:ascii="Arial" w:hAnsi="Arial"/>
                <w:b w:val="0"/>
                <w:sz w:val="16"/>
              </w:rPr>
              <w:t>5</w:t>
            </w:r>
          </w:p>
        </w:tc>
        <w:tc>
          <w:tcPr>
            <w:tcW w:type="dxa" w:w="2268"/>
            <w:vAlign w:val="center"/>
            <w:shd w:fill="F3F6FA"/>
          </w:tcPr>
          <w:p>
            <w:pPr>
              <w:spacing w:after="0"/>
            </w:pPr>
            <w:r/>
            <w:r>
              <w:rPr>
                <w:rFonts w:ascii="Arial" w:hAnsi="Arial"/>
                <w:b w:val="0"/>
                <w:sz w:val="16"/>
              </w:rPr>
              <w:t>—</w:t>
            </w:r>
          </w:p>
        </w:tc>
      </w:tr>
      <w:tr>
        <w:tc>
          <w:tcPr>
            <w:tcW w:type="dxa" w:w="1134"/>
            <w:vAlign w:val="center"/>
          </w:tcPr>
          <w:p>
            <w:pPr>
              <w:spacing w:after="0"/>
            </w:pPr>
            <w:r/>
            <w:r>
              <w:rPr>
                <w:rFonts w:ascii="Arial" w:hAnsi="Arial"/>
                <w:b w:val="0"/>
                <w:sz w:val="16"/>
              </w:rPr>
            </w:r>
          </w:p>
        </w:tc>
        <w:tc>
          <w:tcPr>
            <w:tcW w:type="dxa" w:w="4535"/>
            <w:vAlign w:val="center"/>
          </w:tcPr>
          <w:p>
            <w:pPr>
              <w:spacing w:after="0"/>
            </w:pPr>
            <w:r/>
            <w:r>
              <w:rPr>
                <w:rFonts w:ascii="Arial" w:hAnsi="Arial"/>
                <w:b w:val="0"/>
                <w:sz w:val="16"/>
              </w:rPr>
              <w:t>TOTAL</w:t>
            </w:r>
          </w:p>
        </w:tc>
        <w:tc>
          <w:tcPr>
            <w:tcW w:type="dxa" w:w="1701"/>
            <w:vAlign w:val="center"/>
          </w:tcPr>
          <w:p>
            <w:pPr>
              <w:spacing w:after="0"/>
            </w:pPr>
            <w:r/>
            <w:r>
              <w:rPr>
                <w:rFonts w:ascii="Arial" w:hAnsi="Arial"/>
                <w:b w:val="0"/>
                <w:sz w:val="16"/>
              </w:rPr>
              <w:t>100</w:t>
            </w:r>
          </w:p>
        </w:tc>
        <w:tc>
          <w:tcPr>
            <w:tcW w:type="dxa" w:w="2268"/>
            <w:vAlign w:val="center"/>
          </w:tcPr>
          <w:p>
            <w:pPr>
              <w:spacing w:after="0"/>
            </w:pPr>
            <w:r/>
            <w:r>
              <w:rPr>
                <w:rFonts w:ascii="Arial" w:hAnsi="Arial"/>
                <w:b w:val="0"/>
                <w:sz w:val="16"/>
              </w:rPr>
              <w:t>70/100 global</w:t>
            </w:r>
          </w:p>
        </w:tc>
      </w:tr>
    </w:tbl>
    <w:p>
      <w:pPr>
        <w:spacing w:after="20"/>
      </w:pPr>
    </w:p>
    <w:p>
      <w:pPr>
        <w:pStyle w:val="Heading1"/>
      </w:pPr>
      <w:r>
        <w:t>MENTIONS DE DÉCISION</w:t>
      </w:r>
    </w:p>
    <w:tbl>
      <w:tblPr>
        <w:tblStyle w:val="TableGrid"/>
        <w:tblW w:type="auto" w:w="0"/>
        <w:jc w:val="center"/>
        <w:tblLook w:firstColumn="1" w:firstRow="1" w:lastColumn="0" w:lastRow="0" w:noHBand="0" w:noVBand="1" w:val="04A0"/>
      </w:tblPr>
      <w:tblGrid>
        <w:gridCol w:w="5156"/>
        <w:gridCol w:w="5156"/>
      </w:tblGrid>
      <w:tr>
        <w:trPr>
          <w:tblHeader w:val="true"/>
        </w:trPr>
        <w:tc>
          <w:tcPr>
            <w:tcW w:type="dxa" w:w="3402"/>
            <w:vAlign w:val="center"/>
            <w:shd w:fill="17365D"/>
          </w:tcPr>
          <w:p>
            <w:pPr>
              <w:spacing w:after="0"/>
            </w:pPr>
            <w:r/>
            <w:r>
              <w:rPr>
                <w:rFonts w:ascii="Arial" w:hAnsi="Arial"/>
                <w:b/>
                <w:color w:val="FFFFFF"/>
                <w:sz w:val="16"/>
              </w:rPr>
              <w:t>Décision</w:t>
            </w:r>
          </w:p>
        </w:tc>
        <w:tc>
          <w:tcPr>
            <w:tcW w:type="dxa" w:w="6236"/>
            <w:vAlign w:val="center"/>
            <w:shd w:fill="17365D"/>
          </w:tcPr>
          <w:p>
            <w:pPr>
              <w:spacing w:after="0"/>
            </w:pPr>
            <w:r/>
            <w:r>
              <w:rPr>
                <w:rFonts w:ascii="Arial" w:hAnsi="Arial"/>
                <w:b/>
                <w:color w:val="FFFFFF"/>
                <w:sz w:val="16"/>
              </w:rPr>
              <w:t>Utilisation</w:t>
            </w:r>
          </w:p>
        </w:tc>
      </w:tr>
      <w:tr>
        <w:tc>
          <w:tcPr>
            <w:tcW w:type="dxa" w:w="3402"/>
            <w:vAlign w:val="center"/>
          </w:tcPr>
          <w:p>
            <w:pPr>
              <w:spacing w:after="0"/>
            </w:pPr>
            <w:r/>
            <w:r>
              <w:rPr>
                <w:rFonts w:ascii="Arial" w:hAnsi="Arial"/>
                <w:b w:val="0"/>
                <w:sz w:val="16"/>
              </w:rPr>
              <w:t>ADMIS</w:t>
            </w:r>
          </w:p>
        </w:tc>
        <w:tc>
          <w:tcPr>
            <w:tcW w:type="dxa" w:w="6236"/>
            <w:vAlign w:val="center"/>
          </w:tcPr>
          <w:p>
            <w:pPr>
              <w:spacing w:after="0"/>
            </w:pPr>
            <w:r/>
            <w:r>
              <w:rPr>
                <w:rFonts w:ascii="Arial" w:hAnsi="Arial"/>
                <w:b w:val="0"/>
                <w:sz w:val="16"/>
              </w:rPr>
              <w:t>Toutes les conditions du grade sont satisfaites.</w:t>
            </w:r>
          </w:p>
        </w:tc>
      </w:tr>
      <w:tr>
        <w:tc>
          <w:tcPr>
            <w:tcW w:type="dxa" w:w="3402"/>
            <w:vAlign w:val="center"/>
            <w:shd w:fill="F3F6FA"/>
          </w:tcPr>
          <w:p>
            <w:pPr>
              <w:spacing w:after="0"/>
            </w:pPr>
            <w:r/>
            <w:r>
              <w:rPr>
                <w:rFonts w:ascii="Arial" w:hAnsi="Arial"/>
                <w:b w:val="0"/>
                <w:sz w:val="16"/>
              </w:rPr>
              <w:t>AJOURNÉ AVEC UV À REPRÉSENTER</w:t>
            </w:r>
          </w:p>
        </w:tc>
        <w:tc>
          <w:tcPr>
            <w:tcW w:type="dxa" w:w="6236"/>
            <w:vAlign w:val="center"/>
            <w:shd w:fill="F3F6FA"/>
          </w:tcPr>
          <w:p>
            <w:pPr>
              <w:spacing w:after="0"/>
            </w:pPr>
            <w:r/>
            <w:r>
              <w:rPr>
                <w:rFonts w:ascii="Arial" w:hAnsi="Arial"/>
                <w:b w:val="0"/>
                <w:sz w:val="16"/>
              </w:rPr>
              <w:t>Niveau global satisfaisant ; une ou deux unités doivent être représentées dans le délai prévu.</w:t>
            </w:r>
          </w:p>
        </w:tc>
      </w:tr>
      <w:tr>
        <w:tc>
          <w:tcPr>
            <w:tcW w:type="dxa" w:w="3402"/>
            <w:vAlign w:val="center"/>
          </w:tcPr>
          <w:p>
            <w:pPr>
              <w:spacing w:after="0"/>
            </w:pPr>
            <w:r/>
            <w:r>
              <w:rPr>
                <w:rFonts w:ascii="Arial" w:hAnsi="Arial"/>
                <w:b w:val="0"/>
                <w:sz w:val="16"/>
              </w:rPr>
              <w:t>AJOURNÉ</w:t>
            </w:r>
          </w:p>
        </w:tc>
        <w:tc>
          <w:tcPr>
            <w:tcW w:type="dxa" w:w="6236"/>
            <w:vAlign w:val="center"/>
          </w:tcPr>
          <w:p>
            <w:pPr>
              <w:spacing w:after="0"/>
            </w:pPr>
            <w:r/>
            <w:r>
              <w:rPr>
                <w:rFonts w:ascii="Arial" w:hAnsi="Arial"/>
                <w:b w:val="0"/>
                <w:sz w:val="16"/>
              </w:rPr>
              <w:t>Le niveau requis n’est pas atteint ou les conditions de sécurité / validation ne permettent pas l’homologation.</w:t>
            </w:r>
          </w:p>
        </w:tc>
      </w:tr>
    </w:tbl>
    <w:p>
      <w:pPr>
        <w:spacing w:after="20"/>
      </w:pPr>
    </w:p>
    <w:p>
      <w:r>
        <w:br w:type="page"/>
      </w:r>
    </w:p>
    <w:p>
      <w:pPr>
        <w:pStyle w:val="Heading1"/>
      </w:pPr>
      <w:r>
        <w:t>FORMULE D’ADOPTION</w:t>
      </w:r>
    </w:p>
    <w:p>
      <w:r>
        <w:t>La présente Annexe technique n°1 est soumise à l’adoption de l’organe compétent de l’Union Française de Lethwei &amp; Bando.</w:t>
      </w:r>
    </w:p>
    <w:tbl>
      <w:tblPr>
        <w:tblStyle w:val="TableGrid"/>
        <w:tblW w:type="auto" w:w="0"/>
        <w:jc w:val="center"/>
        <w:tblLook w:firstColumn="1" w:firstRow="1" w:lastColumn="0" w:lastRow="0" w:noHBand="0" w:noVBand="1" w:val="04A0"/>
      </w:tblPr>
      <w:tblGrid>
        <w:gridCol w:w="5156"/>
        <w:gridCol w:w="5156"/>
      </w:tblGrid>
      <w:tr>
        <w:tc>
          <w:tcPr>
            <w:tcW w:type="dxa" w:w="5156"/>
            <w:vAlign w:val="center"/>
            <w:shd w:fill="EAF0F7"/>
          </w:tcPr>
          <w:p>
            <w:pPr>
              <w:spacing w:after="0"/>
            </w:pPr>
            <w:r/>
            <w:r>
              <w:rPr>
                <w:rFonts w:ascii="Arial" w:hAnsi="Arial"/>
                <w:b/>
                <w:color w:val="17365D"/>
                <w:sz w:val="18"/>
              </w:rPr>
              <w:t>Document</w:t>
            </w:r>
          </w:p>
        </w:tc>
        <w:tc>
          <w:tcPr>
            <w:tcW w:type="dxa" w:w="5156"/>
            <w:vAlign w:val="center"/>
          </w:tcPr>
          <w:p>
            <w:pPr>
              <w:spacing w:after="0"/>
            </w:pPr>
            <w:r/>
            <w:r>
              <w:rPr>
                <w:rFonts w:ascii="Arial" w:hAnsi="Arial"/>
                <w:b w:val="0"/>
                <w:sz w:val="18"/>
              </w:rPr>
              <w:t>Annexe technique n°1 — Règlement fédéral des passages de grades de Thaing</w:t>
            </w:r>
          </w:p>
        </w:tc>
      </w:tr>
      <w:tr>
        <w:tc>
          <w:tcPr>
            <w:tcW w:type="dxa" w:w="5156"/>
            <w:vAlign w:val="center"/>
            <w:shd w:fill="EAF0F7"/>
          </w:tcPr>
          <w:p>
            <w:pPr>
              <w:spacing w:after="0"/>
            </w:pPr>
            <w:r/>
            <w:r>
              <w:rPr>
                <w:rFonts w:ascii="Arial" w:hAnsi="Arial"/>
                <w:b/>
                <w:color w:val="17365D"/>
                <w:sz w:val="18"/>
              </w:rPr>
              <w:t>Version</w:t>
            </w:r>
          </w:p>
        </w:tc>
        <w:tc>
          <w:tcPr>
            <w:tcW w:type="dxa" w:w="5156"/>
            <w:vAlign w:val="center"/>
          </w:tcPr>
          <w:p>
            <w:r>
              <w:t>1.1</w:t>
            </w:r>
          </w:p>
        </w:tc>
      </w:tr>
      <w:tr>
        <w:tc>
          <w:tcPr>
            <w:tcW w:type="dxa" w:w="5156"/>
            <w:vAlign w:val="center"/>
            <w:shd w:fill="EAF0F7"/>
          </w:tcPr>
          <w:p>
            <w:pPr>
              <w:spacing w:after="0"/>
            </w:pPr>
            <w:r/>
            <w:r>
              <w:rPr>
                <w:rFonts w:ascii="Arial" w:hAnsi="Arial"/>
                <w:b/>
                <w:color w:val="17365D"/>
                <w:sz w:val="18"/>
              </w:rPr>
              <w:t>Adoptée par</w:t>
            </w:r>
          </w:p>
        </w:tc>
        <w:tc>
          <w:tcPr>
            <w:tcW w:type="dxa" w:w="5156"/>
            <w:vAlign w:val="center"/>
          </w:tcPr>
          <w:p>
            <w:pPr>
              <w:spacing w:after="0"/>
            </w:pPr>
            <w:r/>
            <w:r>
              <w:rPr>
                <w:rFonts w:ascii="Arial" w:hAnsi="Arial"/>
                <w:b w:val="0"/>
                <w:sz w:val="18"/>
              </w:rPr>
              <w:t>____________________________________________</w:t>
            </w:r>
          </w:p>
        </w:tc>
      </w:tr>
      <w:tr>
        <w:tc>
          <w:tcPr>
            <w:tcW w:type="dxa" w:w="5156"/>
            <w:vAlign w:val="center"/>
            <w:shd w:fill="EAF0F7"/>
          </w:tcPr>
          <w:p>
            <w:pPr>
              <w:spacing w:after="0"/>
            </w:pPr>
            <w:r/>
            <w:r>
              <w:rPr>
                <w:rFonts w:ascii="Arial" w:hAnsi="Arial"/>
                <w:b/>
                <w:color w:val="17365D"/>
                <w:sz w:val="18"/>
              </w:rPr>
              <w:t>Réunion du</w:t>
            </w:r>
          </w:p>
        </w:tc>
        <w:tc>
          <w:tcPr>
            <w:tcW w:type="dxa" w:w="5156"/>
            <w:vAlign w:val="center"/>
          </w:tcPr>
          <w:p>
            <w:pPr>
              <w:spacing w:after="0"/>
            </w:pPr>
            <w:r/>
            <w:r>
              <w:rPr>
                <w:rFonts w:ascii="Arial" w:hAnsi="Arial"/>
                <w:b w:val="0"/>
                <w:sz w:val="18"/>
              </w:rPr>
              <w:t>____ / ____ / ________</w:t>
            </w:r>
          </w:p>
        </w:tc>
      </w:tr>
      <w:tr>
        <w:tc>
          <w:tcPr>
            <w:tcW w:type="dxa" w:w="5156"/>
            <w:vAlign w:val="center"/>
            <w:shd w:fill="EAF0F7"/>
          </w:tcPr>
          <w:p>
            <w:pPr>
              <w:spacing w:after="0"/>
            </w:pPr>
            <w:r/>
            <w:r>
              <w:rPr>
                <w:rFonts w:ascii="Arial" w:hAnsi="Arial"/>
                <w:b/>
                <w:color w:val="17365D"/>
                <w:sz w:val="18"/>
              </w:rPr>
              <w:t>Entrée en vigueur</w:t>
            </w:r>
          </w:p>
        </w:tc>
        <w:tc>
          <w:tcPr>
            <w:tcW w:type="dxa" w:w="5156"/>
            <w:vAlign w:val="center"/>
          </w:tcPr>
          <w:p>
            <w:pPr>
              <w:spacing w:after="0"/>
            </w:pPr>
            <w:r/>
            <w:r>
              <w:rPr>
                <w:rFonts w:ascii="Arial" w:hAnsi="Arial"/>
                <w:b w:val="0"/>
                <w:sz w:val="18"/>
              </w:rPr>
              <w:t>____ / ____ / ________</w:t>
            </w:r>
          </w:p>
        </w:tc>
      </w:tr>
      <w:tr>
        <w:tc>
          <w:tcPr>
            <w:tcW w:type="dxa" w:w="5156"/>
            <w:vAlign w:val="center"/>
            <w:shd w:fill="EAF0F7"/>
          </w:tcPr>
          <w:p>
            <w:pPr>
              <w:spacing w:after="0"/>
            </w:pPr>
            <w:r/>
            <w:r>
              <w:rPr>
                <w:rFonts w:ascii="Arial" w:hAnsi="Arial"/>
                <w:b/>
                <w:color w:val="17365D"/>
                <w:sz w:val="18"/>
              </w:rPr>
              <w:t>Référence fédérale</w:t>
            </w:r>
          </w:p>
        </w:tc>
        <w:tc>
          <w:tcPr>
            <w:tcW w:type="dxa" w:w="5156"/>
            <w:vAlign w:val="center"/>
          </w:tcPr>
          <w:p>
            <w:pPr>
              <w:spacing w:after="0"/>
            </w:pPr>
            <w:r/>
            <w:r>
              <w:rPr>
                <w:rFonts w:ascii="Arial" w:hAnsi="Arial"/>
                <w:b w:val="0"/>
                <w:sz w:val="18"/>
              </w:rPr>
              <w:t>____________________________________________</w:t>
            </w:r>
          </w:p>
        </w:tc>
      </w:tr>
    </w:tbl>
    <w:p>
      <w:r>
        <w:br/>
      </w:r>
    </w:p>
    <w:tbl>
      <w:tblPr>
        <w:tblW w:type="auto" w:w="0"/>
        <w:jc w:val="center"/>
        <w:tblLook w:firstColumn="1" w:firstRow="1" w:lastColumn="0" w:lastRow="0" w:noHBand="0" w:noVBand="1" w:val="04A0"/>
      </w:tblPr>
      <w:tblGrid>
        <w:gridCol w:w="5156"/>
        <w:gridCol w:w="5156"/>
      </w:tblGrid>
      <w:tr>
        <w:tc>
          <w:tcPr>
            <w:tcW w:type="dxa" w:w="5156"/>
            <w:vAlign w:val="center"/>
          </w:tcPr>
          <w:p>
            <w:pPr>
              <w:spacing w:after="0"/>
            </w:pPr>
            <w:r/>
            <w:r>
              <w:rPr>
                <w:rFonts w:ascii="Arial" w:hAnsi="Arial"/>
                <w:b/>
                <w:color w:val="17365D"/>
                <w:sz w:val="18"/>
              </w:rPr>
              <w:t>Pour l’UFLB</w:t>
              <w:br/>
              <w:br/>
              <w:t>Le Président</w:t>
              <w:br/>
              <w:t>Alain-André Feschet</w:t>
              <w:br/>
              <w:br/>
              <w:br/>
              <w:t>Signature : ____________________</w:t>
            </w:r>
          </w:p>
        </w:tc>
        <w:tc>
          <w:tcPr>
            <w:tcW w:type="dxa" w:w="5156"/>
            <w:vAlign w:val="center"/>
          </w:tcPr>
          <w:p>
            <w:pPr>
              <w:spacing w:after="0"/>
            </w:pPr>
            <w:r/>
            <w:r>
              <w:rPr>
                <w:rFonts w:ascii="Arial" w:hAnsi="Arial"/>
                <w:b/>
                <w:color w:val="17365D"/>
                <w:sz w:val="18"/>
              </w:rPr>
              <w:t>Commission fédérale des grades</w:t>
              <w:br/>
              <w:br/>
              <w:t>Responsable : ____________________</w:t>
              <w:br/>
              <w:br/>
              <w:br/>
              <w:t>Signature : ____________________</w:t>
            </w:r>
          </w:p>
        </w:tc>
      </w:tr>
    </w:tbl>
    <w:p>
      <w:r>
        <w:br/>
      </w:r>
    </w:p>
    <w:p>
      <w:pPr>
        <w:jc w:val="center"/>
      </w:pPr>
      <w:r>
        <w:rPr>
          <w:b/>
          <w:color w:val="17365D"/>
          <w:sz w:val="24"/>
        </w:rPr>
        <w:t>UNION FRANÇAISE DE LETHWEI &amp; BANDO — UFLB</w:t>
      </w:r>
    </w:p>
    <w:p>
      <w:pPr>
        <w:pStyle w:val="Small"/>
        <w:jc w:val="center"/>
      </w:pPr>
      <w:r>
        <w:t>13 rue de Villard de Lans • 38000 Grenoble • France</w:t>
        <w:br/>
        <w:t>06 56 67 41 80 • uflblethweibando@gmail.com • www.lethwei-bando.fr</w:t>
      </w:r>
    </w:p>
    <w:sectPr w:rsidR="00FC693F" w:rsidRPr="0006063C" w:rsidSect="00034616">
      <w:headerReference w:type="default" r:id="rId9"/>
      <w:footerReference w:type="default" r:id="rId10"/>
      <w:pgSz w:w="12240" w:h="15840"/>
      <w:pgMar w:top="907"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5"/>
      </w:rPr>
      <w:t>13 rue de Villard de Lans — 38000 Grenoble  |  06 56 67 41 80  |  uflblethweibando@gmail.com  |  www.lethwei-bando.fr</w:t>
    </w:r>
    <w:r>
      <w:t xml:space="preserv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17365D"/>
        <w:sz w:val="16"/>
      </w:rPr>
      <w:t>UFLB — UNION FRANÇAISE DE LETHWEI &amp; BANDO  |  ANNEXE TECHNIQUE N°1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C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17365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60"/>
      <w:contextualSpacing/>
    </w:pPr>
    <w:rPr>
      <w:rFonts w:asciiTheme="majorHAnsi" w:eastAsiaTheme="majorEastAsia" w:hAnsiTheme="majorHAnsi" w:cstheme="majorBidi" w:ascii="Arial" w:hAnsi="Arial"/>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
    <w:name w:val="Article"/>
    <w:pPr>
      <w:spacing w:before="140" w:after="60"/>
    </w:pPr>
    <w:rPr>
      <w:rFonts w:ascii="Arial" w:hAnsi="Arial"/>
      <w:b/>
      <w:color w:val="17365D"/>
      <w:sz w:val="21"/>
    </w:rPr>
  </w:style>
  <w:style w:type="paragraph" w:customStyle="1" w:styleId="Small">
    <w:name w:val="Small"/>
    <w:rPr>
      <w:rFonts w:ascii="Arial" w:hAnsi="Arial"/>
      <w:color w:val="666666"/>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UFLB — Annexe technique n°1 — Passages de grades de Thaing — version 1.1</dc:title>
  <dc:subject>Bando, Banshay, Naban, Lethwei, Min Zin, Monk System</dc:subject>
  <dc:creator>Union Française de Lethwei &amp; Bando (UFLB)</dc:creator>
  <cp:keywords>UFLB, Thaing, Bando, Lethwei, Naban, Banshay, grades</cp:keywords>
  <dc:description>generated by python-docx</dc:description>
  <cp:lastModifiedBy/>
  <cp:revision>1</cp:revision>
  <dcterms:created xsi:type="dcterms:W3CDTF">2013-12-23T23:15:00Z</dcterms:created>
  <dcterms:modified xsi:type="dcterms:W3CDTF">2013-12-23T23:15:00Z</dcterms:modified>
  <cp:category/>
</cp:coreProperties>
</file>